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EB0D6" w14:textId="77777777" w:rsidR="00BB1E71" w:rsidRPr="00D46544" w:rsidRDefault="003F0A70" w:rsidP="00D46544">
      <w:pPr>
        <w:spacing w:before="60" w:after="0" w:line="240" w:lineRule="auto"/>
        <w:ind w:left="-630" w:firstLine="180"/>
        <w:jc w:val="center"/>
        <w:rPr>
          <w:rFonts w:cstheme="minorHAnsi"/>
          <w:b/>
          <w:bCs/>
          <w:color w:val="002060"/>
          <w:sz w:val="24"/>
          <w:szCs w:val="24"/>
        </w:rPr>
      </w:pPr>
      <w:r w:rsidRPr="00D46544">
        <w:rPr>
          <w:rFonts w:cstheme="minorHAnsi"/>
          <w:b/>
          <w:color w:val="002060"/>
          <w:spacing w:val="-1"/>
          <w:sz w:val="24"/>
          <w:szCs w:val="24"/>
        </w:rPr>
        <w:t>Anexa 5</w:t>
      </w:r>
      <w:r w:rsidR="00BB1E71" w:rsidRPr="00D46544">
        <w:rPr>
          <w:rFonts w:cstheme="minorHAnsi"/>
          <w:b/>
          <w:color w:val="002060"/>
          <w:spacing w:val="-1"/>
          <w:sz w:val="24"/>
          <w:szCs w:val="24"/>
        </w:rPr>
        <w:t xml:space="preserve">: </w:t>
      </w:r>
      <w:r w:rsidR="00BB1E71" w:rsidRPr="00D46544">
        <w:rPr>
          <w:rFonts w:cstheme="minorHAnsi"/>
          <w:b/>
          <w:bCs/>
          <w:color w:val="002060"/>
          <w:sz w:val="24"/>
          <w:szCs w:val="24"/>
        </w:rPr>
        <w:t>Definiții și mod de calcul indicatori</w:t>
      </w:r>
    </w:p>
    <w:p w14:paraId="395C1FA0" w14:textId="3977A26E" w:rsidR="00D16387" w:rsidRPr="00D46544" w:rsidRDefault="00D16387" w:rsidP="00D46544">
      <w:pPr>
        <w:spacing w:before="60" w:after="0" w:line="240" w:lineRule="auto"/>
        <w:ind w:left="-630" w:firstLine="180"/>
        <w:jc w:val="both"/>
        <w:rPr>
          <w:rFonts w:cstheme="minorHAnsi"/>
          <w:b/>
          <w:color w:val="002060"/>
          <w:sz w:val="24"/>
          <w:szCs w:val="24"/>
        </w:rPr>
      </w:pPr>
    </w:p>
    <w:p w14:paraId="5E89F220" w14:textId="001035DE" w:rsidR="00D75609" w:rsidRPr="00D46544" w:rsidRDefault="00D75609"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t>Definiți</w:t>
      </w:r>
      <w:r w:rsidR="00545FF1" w:rsidRPr="00D46544">
        <w:rPr>
          <w:rFonts w:cstheme="minorHAnsi"/>
          <w:b/>
          <w:color w:val="002060"/>
          <w:sz w:val="24"/>
          <w:szCs w:val="24"/>
          <w:lang w:val="ro-RO"/>
        </w:rPr>
        <w:t>a</w:t>
      </w:r>
      <w:r w:rsidR="00A40BE2" w:rsidRPr="00D46544">
        <w:rPr>
          <w:rFonts w:cstheme="minorHAnsi"/>
          <w:b/>
          <w:color w:val="002060"/>
          <w:sz w:val="24"/>
          <w:szCs w:val="24"/>
          <w:lang w:val="ro-RO"/>
        </w:rPr>
        <w:t xml:space="preserve"> indicatori</w:t>
      </w:r>
      <w:r w:rsidR="00545FF1" w:rsidRPr="00D46544">
        <w:rPr>
          <w:rFonts w:cstheme="minorHAnsi"/>
          <w:b/>
          <w:color w:val="002060"/>
          <w:sz w:val="24"/>
          <w:szCs w:val="24"/>
          <w:lang w:val="ro-RO"/>
        </w:rPr>
        <w:t>lor</w:t>
      </w:r>
      <w:r w:rsidR="00A40BE2" w:rsidRPr="00D46544">
        <w:rPr>
          <w:rFonts w:cstheme="minorHAnsi"/>
          <w:b/>
          <w:color w:val="002060"/>
          <w:sz w:val="24"/>
          <w:szCs w:val="24"/>
          <w:lang w:val="ro-RO"/>
        </w:rPr>
        <w:t xml:space="preserve"> de realizare</w:t>
      </w:r>
    </w:p>
    <w:tbl>
      <w:tblPr>
        <w:tblStyle w:val="TableGrid"/>
        <w:tblpPr w:leftFromText="180" w:rightFromText="180" w:vertAnchor="text" w:tblpX="-431" w:tblpY="1"/>
        <w:tblOverlap w:val="never"/>
        <w:tblW w:w="5154" w:type="pct"/>
        <w:tblLook w:val="04A0" w:firstRow="1" w:lastRow="0" w:firstColumn="1" w:lastColumn="0" w:noHBand="0" w:noVBand="1"/>
      </w:tblPr>
      <w:tblGrid>
        <w:gridCol w:w="1658"/>
        <w:gridCol w:w="2192"/>
        <w:gridCol w:w="1455"/>
        <w:gridCol w:w="1582"/>
        <w:gridCol w:w="7538"/>
      </w:tblGrid>
      <w:tr w:rsidR="00D46544" w:rsidRPr="00D46544" w14:paraId="53C3A067" w14:textId="77777777" w:rsidTr="009B48D6">
        <w:trPr>
          <w:tblHeader/>
        </w:trPr>
        <w:tc>
          <w:tcPr>
            <w:tcW w:w="575" w:type="pct"/>
            <w:shd w:val="clear" w:color="auto" w:fill="C5E0B3" w:themeFill="accent6" w:themeFillTint="66"/>
          </w:tcPr>
          <w:p w14:paraId="6D1AB10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0" w:type="pct"/>
            <w:shd w:val="clear" w:color="auto" w:fill="C5E0B3" w:themeFill="accent6" w:themeFillTint="66"/>
          </w:tcPr>
          <w:p w14:paraId="34065FF7"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28EB019F" w14:textId="4B9206D0"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48" w:type="pct"/>
            <w:shd w:val="clear" w:color="auto" w:fill="C5E0B3" w:themeFill="accent6" w:themeFillTint="66"/>
          </w:tcPr>
          <w:p w14:paraId="506E1B81" w14:textId="10FD736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w:t>
            </w:r>
            <w:r w:rsidR="00BB1E71" w:rsidRPr="00D46544">
              <w:rPr>
                <w:rFonts w:cstheme="minorHAnsi"/>
                <w:b/>
                <w:color w:val="002060"/>
                <w:sz w:val="24"/>
                <w:szCs w:val="24"/>
                <w:lang w:val="ro-RO"/>
              </w:rPr>
              <w:t>ă</w:t>
            </w:r>
          </w:p>
        </w:tc>
        <w:tc>
          <w:tcPr>
            <w:tcW w:w="2612" w:type="pct"/>
            <w:shd w:val="clear" w:color="auto" w:fill="C5E0B3" w:themeFill="accent6" w:themeFillTint="66"/>
          </w:tcPr>
          <w:p w14:paraId="2B2209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594EFB31" w14:textId="77777777" w:rsidTr="009B48D6">
        <w:tc>
          <w:tcPr>
            <w:tcW w:w="575" w:type="pct"/>
          </w:tcPr>
          <w:p w14:paraId="12ED8296" w14:textId="12F1FB3E"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RCO01</w:t>
            </w:r>
          </w:p>
        </w:tc>
        <w:tc>
          <w:tcPr>
            <w:tcW w:w="760" w:type="pct"/>
          </w:tcPr>
          <w:p w14:paraId="6427BABD" w14:textId="5A1C8DC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(din care: micro, mici, medii, mari)</w:t>
            </w:r>
          </w:p>
          <w:p w14:paraId="6333BE6C" w14:textId="77777777" w:rsidR="0003098C" w:rsidRPr="00D46544" w:rsidRDefault="0003098C" w:rsidP="00D46544">
            <w:pPr>
              <w:spacing w:before="60"/>
              <w:ind w:right="120"/>
              <w:jc w:val="both"/>
              <w:rPr>
                <w:rFonts w:cstheme="minorHAnsi"/>
                <w:color w:val="002060"/>
                <w:sz w:val="24"/>
                <w:szCs w:val="24"/>
                <w:lang w:val="ro-RO"/>
              </w:rPr>
            </w:pPr>
          </w:p>
        </w:tc>
        <w:tc>
          <w:tcPr>
            <w:tcW w:w="504" w:type="pct"/>
          </w:tcPr>
          <w:p w14:paraId="3C1C4503"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239049B3" w14:textId="77777777" w:rsidR="0003098C" w:rsidRPr="00D46544" w:rsidRDefault="0003098C" w:rsidP="00D46544">
            <w:pPr>
              <w:spacing w:before="60"/>
              <w:ind w:right="120"/>
              <w:jc w:val="both"/>
              <w:rPr>
                <w:rFonts w:cstheme="minorHAnsi"/>
                <w:color w:val="002060"/>
                <w:sz w:val="24"/>
                <w:szCs w:val="24"/>
                <w:lang w:val="ro-RO"/>
              </w:rPr>
            </w:pPr>
          </w:p>
          <w:p w14:paraId="479C50A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2053357C" w14:textId="5AAA055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w:t>
            </w:r>
          </w:p>
        </w:tc>
        <w:tc>
          <w:tcPr>
            <w:tcW w:w="2612" w:type="pct"/>
          </w:tcPr>
          <w:p w14:paraId="13320D02"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C06EA3B" w14:textId="72AA2E5A"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monetar sau în natură din partea FEDR.</w:t>
            </w:r>
          </w:p>
          <w:p w14:paraId="50548D82"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p>
          <w:p w14:paraId="10774422" w14:textId="56C59748"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(ESTAT în referințe, pe baza Regulamentului (CEE) nr. 696/93 al Consiliului, secțiunea III A din 15.03.1993)</w:t>
            </w:r>
          </w:p>
          <w:p w14:paraId="489D5910"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4A6EA3A3"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3F0D7197"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lastRenderedPageBreak/>
              <w:t xml:space="preserve">Întreprindere mică (10-49 angajați și cifra de afaceri anuală și/ sau bilanțul &gt; 2 și &lt; = 10 milioane Euro); </w:t>
            </w:r>
          </w:p>
          <w:p w14:paraId="0DC4BB89"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medie (50-249 angajați și cifra de afaceri anuală &gt; 10 milioane Euro și &lt;= 50 milioane Euro  sau bilanțul &gt; 10 milioane Euro și &lt;= 43 milioane Euro); </w:t>
            </w:r>
          </w:p>
          <w:p w14:paraId="1DD63B4A" w14:textId="2C427D11"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mare (&gt;250 angajați și cifra de afaceri anuală &gt; 50 milioane Euro sau bilanțul &gt; 43 milioane Euro).</w:t>
            </w:r>
          </w:p>
          <w:p w14:paraId="3EAD52A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205785C6" w14:textId="67EE655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Mărimea întreprinderii sprijinite se măsoară la momentul depunerii cererii de </w:t>
            </w:r>
            <w:r w:rsidR="00BB1E71" w:rsidRPr="00D46544">
              <w:rPr>
                <w:rFonts w:cstheme="minorHAnsi"/>
                <w:color w:val="002060"/>
                <w:sz w:val="24"/>
                <w:szCs w:val="24"/>
                <w:lang w:val="ro-RO"/>
              </w:rPr>
              <w:t>finanţare</w:t>
            </w:r>
            <w:r w:rsidRPr="00D46544">
              <w:rPr>
                <w:rFonts w:cstheme="minorHAnsi"/>
                <w:color w:val="002060"/>
                <w:sz w:val="24"/>
                <w:szCs w:val="24"/>
                <w:lang w:val="ro-RO"/>
              </w:rPr>
              <w:t>.</w:t>
            </w:r>
          </w:p>
          <w:p w14:paraId="3D00A4DB" w14:textId="77777777" w:rsidR="0003098C" w:rsidRPr="00D46544" w:rsidRDefault="0003098C" w:rsidP="00D46544">
            <w:pPr>
              <w:spacing w:before="60"/>
              <w:ind w:right="119"/>
              <w:jc w:val="both"/>
              <w:rPr>
                <w:rFonts w:cstheme="minorHAnsi"/>
                <w:color w:val="002060"/>
                <w:sz w:val="24"/>
                <w:szCs w:val="24"/>
                <w:lang w:val="ro-RO"/>
              </w:rPr>
            </w:pPr>
          </w:p>
          <w:p w14:paraId="59851D8F" w14:textId="7126A0D9"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67B249C" w14:textId="5B4A1DD4"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Modalitatea de calcul – suma estimată a numărului de întreprinderi care </w:t>
            </w:r>
            <w:r w:rsidR="00BB1E71" w:rsidRPr="00D46544">
              <w:rPr>
                <w:rFonts w:cstheme="minorHAnsi"/>
                <w:color w:val="002060"/>
                <w:sz w:val="24"/>
                <w:szCs w:val="24"/>
                <w:lang w:val="ro-RO"/>
              </w:rPr>
              <w:t xml:space="preserve">sunt </w:t>
            </w:r>
            <w:r w:rsidRPr="00D46544">
              <w:rPr>
                <w:rFonts w:cstheme="minorHAnsi"/>
                <w:color w:val="002060"/>
                <w:sz w:val="24"/>
                <w:szCs w:val="24"/>
                <w:lang w:val="ro-RO"/>
              </w:rPr>
              <w:t>partenere în proiect.</w:t>
            </w:r>
          </w:p>
          <w:p w14:paraId="38A4322F" w14:textId="5CD26F38"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051A77" w:rsidRPr="00D46544">
              <w:rPr>
                <w:rFonts w:cstheme="minorHAnsi"/>
                <w:b/>
                <w:color w:val="002060"/>
                <w:sz w:val="24"/>
                <w:szCs w:val="24"/>
                <w:lang w:val="ro-RO"/>
              </w:rPr>
              <w:t xml:space="preserve"> </w:t>
            </w:r>
          </w:p>
          <w:p w14:paraId="627EC995" w14:textId="14279F56"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Raportarea acestui indicator se realizează pe baza datelor colectate de la beneficiar pentru indicatorul asociat formei de sp</w:t>
            </w:r>
            <w:r w:rsidR="00BB1E71" w:rsidRPr="00D46544">
              <w:rPr>
                <w:rFonts w:cstheme="minorHAnsi"/>
                <w:color w:val="002060"/>
                <w:sz w:val="24"/>
                <w:szCs w:val="24"/>
                <w:lang w:val="ro-RO"/>
              </w:rPr>
              <w:t>r</w:t>
            </w:r>
            <w:r w:rsidRPr="00D46544">
              <w:rPr>
                <w:rFonts w:cstheme="minorHAnsi"/>
                <w:color w:val="002060"/>
                <w:sz w:val="24"/>
                <w:szCs w:val="24"/>
                <w:lang w:val="ro-RO"/>
              </w:rPr>
              <w:t>ijin acordat: grant (RCO02).</w:t>
            </w:r>
          </w:p>
          <w:p w14:paraId="18CD0B70" w14:textId="2089F948" w:rsidR="00051A77" w:rsidRPr="00D46544" w:rsidRDefault="00051A77"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 funcție de regiunea de dezvoltare</w:t>
            </w:r>
          </w:p>
          <w:p w14:paraId="4DB1FF6C" w14:textId="02F5DA87" w:rsidR="00051A77" w:rsidRPr="00D46544" w:rsidRDefault="00BF755B"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 RCO01 pe tip de regiune de dezvoltare</w:t>
            </w:r>
            <w:r w:rsidR="007452FB" w:rsidRPr="00D46544">
              <w:rPr>
                <w:rFonts w:cstheme="minorHAnsi"/>
                <w:bCs/>
                <w:color w:val="002060"/>
                <w:sz w:val="24"/>
                <w:szCs w:val="24"/>
                <w:lang w:val="ro-RO"/>
              </w:rPr>
              <w:t xml:space="preserve"> (regiune mai dezvoltată/regiune mai puțin dezvoltată)</w:t>
            </w:r>
            <w:r w:rsidRPr="00D46544">
              <w:rPr>
                <w:rFonts w:cstheme="minorHAnsi"/>
                <w:bCs/>
                <w:color w:val="002060"/>
                <w:sz w:val="24"/>
                <w:szCs w:val="24"/>
                <w:lang w:val="ro-RO"/>
              </w:rPr>
              <w:t xml:space="preserve">, </w:t>
            </w:r>
            <w:r w:rsidR="009C5164" w:rsidRPr="00D46544">
              <w:rPr>
                <w:rFonts w:cstheme="minorHAnsi"/>
                <w:bCs/>
                <w:color w:val="002060"/>
                <w:sz w:val="24"/>
                <w:szCs w:val="24"/>
                <w:lang w:val="ro-RO"/>
              </w:rPr>
              <w:t>se face</w:t>
            </w:r>
            <w:r w:rsidR="00051A77" w:rsidRPr="00D46544">
              <w:rPr>
                <w:rFonts w:cstheme="minorHAnsi"/>
                <w:bCs/>
                <w:color w:val="002060"/>
                <w:sz w:val="24"/>
                <w:szCs w:val="24"/>
                <w:lang w:val="ro-RO"/>
              </w:rPr>
              <w:t xml:space="preserve"> exclusiv funcție de </w:t>
            </w:r>
            <w:r w:rsidR="00223A2A" w:rsidRPr="00D46544">
              <w:rPr>
                <w:rFonts w:cstheme="minorHAnsi"/>
                <w:bCs/>
                <w:color w:val="002060"/>
                <w:sz w:val="24"/>
                <w:szCs w:val="24"/>
                <w:lang w:val="ro-RO"/>
              </w:rPr>
              <w:t xml:space="preserve"> </w:t>
            </w:r>
            <w:r w:rsidR="00020314" w:rsidRPr="00D46544">
              <w:rPr>
                <w:rFonts w:cstheme="minorHAnsi"/>
                <w:bCs/>
                <w:color w:val="002060"/>
                <w:sz w:val="24"/>
                <w:szCs w:val="24"/>
                <w:lang w:val="ro-RO"/>
              </w:rPr>
              <w:t>loc</w:t>
            </w:r>
            <w:r w:rsidR="004E65F5" w:rsidRPr="00D46544">
              <w:rPr>
                <w:rFonts w:cstheme="minorHAnsi"/>
                <w:bCs/>
                <w:color w:val="002060"/>
                <w:sz w:val="24"/>
                <w:szCs w:val="24"/>
                <w:lang w:val="ro-RO"/>
              </w:rPr>
              <w:t>ația</w:t>
            </w:r>
            <w:r w:rsidR="00020314" w:rsidRPr="00D46544">
              <w:rPr>
                <w:rFonts w:cstheme="minorHAnsi"/>
                <w:bCs/>
                <w:color w:val="002060"/>
                <w:sz w:val="24"/>
                <w:szCs w:val="24"/>
                <w:lang w:val="ro-RO"/>
              </w:rPr>
              <w:t xml:space="preserve"> de </w:t>
            </w:r>
            <w:r w:rsidR="004E65F5" w:rsidRPr="00D46544">
              <w:rPr>
                <w:rFonts w:cstheme="minorHAnsi"/>
                <w:bCs/>
                <w:color w:val="002060"/>
                <w:sz w:val="24"/>
                <w:szCs w:val="24"/>
                <w:lang w:val="ro-RO"/>
              </w:rPr>
              <w:t>implementare</w:t>
            </w:r>
            <w:r w:rsidR="00020314" w:rsidRPr="00D46544">
              <w:rPr>
                <w:rFonts w:cstheme="minorHAnsi"/>
                <w:bCs/>
                <w:color w:val="002060"/>
                <w:sz w:val="24"/>
                <w:szCs w:val="24"/>
                <w:lang w:val="ro-RO"/>
              </w:rPr>
              <w:t xml:space="preserve"> a</w:t>
            </w:r>
            <w:r w:rsidR="00051A77" w:rsidRPr="00D46544">
              <w:rPr>
                <w:rFonts w:cstheme="minorHAnsi"/>
                <w:bCs/>
                <w:color w:val="002060"/>
                <w:sz w:val="24"/>
                <w:szCs w:val="24"/>
                <w:lang w:val="ro-RO"/>
              </w:rPr>
              <w:t xml:space="preserve"> </w:t>
            </w:r>
            <w:r w:rsidR="00020314" w:rsidRPr="00D46544">
              <w:rPr>
                <w:rFonts w:cstheme="minorHAnsi"/>
                <w:bCs/>
                <w:color w:val="002060"/>
                <w:sz w:val="24"/>
                <w:szCs w:val="24"/>
                <w:lang w:val="ro-RO"/>
              </w:rPr>
              <w:t xml:space="preserve">proiectului </w:t>
            </w:r>
            <w:r w:rsidR="00051A77" w:rsidRPr="00D46544">
              <w:rPr>
                <w:rFonts w:cstheme="minorHAnsi"/>
                <w:bCs/>
                <w:color w:val="002060"/>
                <w:sz w:val="24"/>
                <w:szCs w:val="24"/>
                <w:lang w:val="ro-RO"/>
              </w:rPr>
              <w:t>(</w:t>
            </w:r>
            <w:r w:rsidR="00020314" w:rsidRPr="00D46544">
              <w:rPr>
                <w:rFonts w:cstheme="minorHAnsi"/>
                <w:bCs/>
                <w:color w:val="002060"/>
                <w:sz w:val="24"/>
                <w:szCs w:val="24"/>
                <w:lang w:val="ro-RO"/>
              </w:rPr>
              <w:t>și nu</w:t>
            </w:r>
            <w:r w:rsidR="004E65F5" w:rsidRPr="00D46544">
              <w:rPr>
                <w:rFonts w:cstheme="minorHAnsi"/>
                <w:bCs/>
                <w:color w:val="002060"/>
                <w:sz w:val="24"/>
                <w:szCs w:val="24"/>
                <w:lang w:val="ro-RO"/>
              </w:rPr>
              <w:t xml:space="preserve"> în</w:t>
            </w:r>
            <w:r w:rsidR="00020314" w:rsidRPr="00D46544">
              <w:rPr>
                <w:rFonts w:cstheme="minorHAnsi"/>
                <w:bCs/>
                <w:color w:val="002060"/>
                <w:sz w:val="24"/>
                <w:szCs w:val="24"/>
                <w:lang w:val="ro-RO"/>
              </w:rPr>
              <w:t xml:space="preserve"> funcție de </w:t>
            </w:r>
            <w:r w:rsidR="00051A77" w:rsidRPr="00D46544">
              <w:rPr>
                <w:rFonts w:cstheme="minorHAnsi"/>
                <w:bCs/>
                <w:color w:val="002060"/>
                <w:sz w:val="24"/>
                <w:szCs w:val="24"/>
                <w:lang w:val="ro-RO"/>
              </w:rPr>
              <w:t>sediul</w:t>
            </w:r>
            <w:r w:rsidR="00020314" w:rsidRPr="00D46544">
              <w:rPr>
                <w:rFonts w:cstheme="minorHAnsi"/>
                <w:bCs/>
                <w:color w:val="002060"/>
                <w:sz w:val="24"/>
                <w:szCs w:val="24"/>
                <w:lang w:val="ro-RO"/>
              </w:rPr>
              <w:t xml:space="preserve"> social</w:t>
            </w:r>
            <w:r w:rsidR="00051A77" w:rsidRPr="00D46544">
              <w:rPr>
                <w:rFonts w:cstheme="minorHAnsi"/>
                <w:bCs/>
                <w:color w:val="002060"/>
                <w:sz w:val="24"/>
                <w:szCs w:val="24"/>
                <w:lang w:val="ro-RO"/>
              </w:rPr>
              <w:t>).</w:t>
            </w:r>
          </w:p>
          <w:p w14:paraId="392EF3E2" w14:textId="75998AB0" w:rsidR="003B60B1" w:rsidRPr="00D46544" w:rsidRDefault="00020314"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lastRenderedPageBreak/>
              <w:t xml:space="preserve">Pentru </w:t>
            </w:r>
            <w:r w:rsidR="004E65F5" w:rsidRPr="00D46544">
              <w:rPr>
                <w:rFonts w:cstheme="minorHAnsi"/>
                <w:bCs/>
                <w:color w:val="002060"/>
                <w:sz w:val="24"/>
                <w:szCs w:val="24"/>
                <w:lang w:val="ro-RO"/>
              </w:rPr>
              <w:t>regiunea mai dezvoltată București Ilfov, este necesar să se respecte prevederile secțiunii 3.13 a ghidului solicitantului în ceea ce privește tipurile de ajutor de stat eligibile în funcție de locațiile proiectului în corelare cu activitățile prevăzute în proiect</w:t>
            </w:r>
            <w:r w:rsidR="00012EBB" w:rsidRPr="00D46544">
              <w:rPr>
                <w:rFonts w:cstheme="minorHAnsi"/>
                <w:bCs/>
                <w:color w:val="002060"/>
                <w:sz w:val="24"/>
                <w:szCs w:val="24"/>
                <w:lang w:val="ro-RO"/>
              </w:rPr>
              <w:t xml:space="preserve"> </w:t>
            </w:r>
            <w:r w:rsidR="004E65F5" w:rsidRPr="00D46544">
              <w:rPr>
                <w:rFonts w:cstheme="minorHAnsi"/>
                <w:bCs/>
                <w:color w:val="002060"/>
                <w:sz w:val="24"/>
                <w:szCs w:val="24"/>
                <w:lang w:val="ro-RO"/>
              </w:rPr>
              <w:t xml:space="preserve">(spre ex. în cazul ajutoarelor </w:t>
            </w:r>
            <w:r w:rsidR="004E65F5" w:rsidRPr="00D46544">
              <w:rPr>
                <w:rFonts w:cstheme="minorHAnsi"/>
                <w:bCs/>
                <w:color w:val="002060"/>
                <w:sz w:val="24"/>
                <w:szCs w:val="24"/>
                <w:lang w:val="ro-RO" w:bidi="ro-RO"/>
              </w:rPr>
              <w:t>regionale (pentru investiții inițiale)</w:t>
            </w:r>
            <w:r w:rsidR="004E65F5" w:rsidRPr="00D46544">
              <w:rPr>
                <w:rFonts w:cstheme="minorHAnsi"/>
                <w:b/>
                <w:bCs/>
                <w:color w:val="002060"/>
                <w:sz w:val="24"/>
                <w:szCs w:val="24"/>
                <w:lang w:val="ro-RO" w:bidi="ro-RO"/>
              </w:rPr>
              <w:t xml:space="preserve"> </w:t>
            </w:r>
            <w:r w:rsidR="004E65F5" w:rsidRPr="00D46544">
              <w:rPr>
                <w:rFonts w:cstheme="minorHAnsi"/>
                <w:bCs/>
                <w:color w:val="002060"/>
                <w:sz w:val="24"/>
                <w:szCs w:val="24"/>
                <w:lang w:val="ro-RO"/>
              </w:rPr>
              <w:t xml:space="preserve">sunt eligibile doar </w:t>
            </w:r>
            <w:r w:rsidRPr="00D46544">
              <w:rPr>
                <w:rFonts w:cstheme="minorHAnsi"/>
                <w:bCs/>
                <w:color w:val="002060"/>
                <w:sz w:val="24"/>
                <w:szCs w:val="24"/>
                <w:lang w:val="ro-RO"/>
              </w:rPr>
              <w:t xml:space="preserve"> unele</w:t>
            </w:r>
            <w:r w:rsidR="004E65F5" w:rsidRPr="00D46544">
              <w:rPr>
                <w:rFonts w:cstheme="minorHAnsi"/>
                <w:bCs/>
                <w:color w:val="002060"/>
                <w:sz w:val="24"/>
                <w:szCs w:val="24"/>
                <w:lang w:val="ro-RO"/>
              </w:rPr>
              <w:t xml:space="preserve"> localități din județul I</w:t>
            </w:r>
            <w:r w:rsidRPr="00D46544">
              <w:rPr>
                <w:rFonts w:cstheme="minorHAnsi"/>
                <w:bCs/>
                <w:color w:val="002060"/>
                <w:sz w:val="24"/>
                <w:szCs w:val="24"/>
                <w:lang w:val="ro-RO"/>
              </w:rPr>
              <w:t>lfov</w:t>
            </w:r>
            <w:r w:rsidR="004E65F5" w:rsidRPr="00D46544">
              <w:rPr>
                <w:rFonts w:cstheme="minorHAnsi"/>
                <w:bCs/>
                <w:color w:val="002060"/>
                <w:sz w:val="24"/>
                <w:szCs w:val="24"/>
                <w:lang w:val="ro-RO"/>
              </w:rPr>
              <w:t>)</w:t>
            </w:r>
          </w:p>
        </w:tc>
      </w:tr>
      <w:tr w:rsidR="00D46544" w:rsidRPr="00D46544" w14:paraId="63CCDED6" w14:textId="77777777" w:rsidTr="009B48D6">
        <w:tc>
          <w:tcPr>
            <w:tcW w:w="575" w:type="pct"/>
          </w:tcPr>
          <w:p w14:paraId="64DA0EE2" w14:textId="0F42AEA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RCO02</w:t>
            </w:r>
          </w:p>
        </w:tc>
        <w:tc>
          <w:tcPr>
            <w:tcW w:w="760" w:type="pct"/>
          </w:tcPr>
          <w:p w14:paraId="1C79EB77" w14:textId="68727CD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prin granturi</w:t>
            </w:r>
          </w:p>
        </w:tc>
        <w:tc>
          <w:tcPr>
            <w:tcW w:w="504" w:type="pct"/>
          </w:tcPr>
          <w:p w14:paraId="41837BD2"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1D7D26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32B02505" w14:textId="52CF9D71"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w:t>
            </w:r>
          </w:p>
        </w:tc>
        <w:tc>
          <w:tcPr>
            <w:tcW w:w="2612" w:type="pct"/>
          </w:tcPr>
          <w:p w14:paraId="259C22CC"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6ADBB02"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p>
          <w:p w14:paraId="70C7B6C4"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0BDAEFB4"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1C2AF3D6"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21EC0C6D" w14:textId="692A7081"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(&gt;250 angajați și cifra de afaceri anuală &gt; 50 milioane Euro sau bilanțul &gt; 43 milioane Euro).</w:t>
            </w:r>
          </w:p>
          <w:p w14:paraId="77A57D1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1A22F779" w14:textId="710530FF"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w:t>
            </w:r>
            <w:r w:rsidR="00020314" w:rsidRPr="00D46544">
              <w:rPr>
                <w:rFonts w:cstheme="minorHAnsi"/>
                <w:color w:val="002060"/>
                <w:sz w:val="24"/>
                <w:szCs w:val="24"/>
                <w:lang w:val="ro-RO"/>
              </w:rPr>
              <w:t>n</w:t>
            </w:r>
            <w:r w:rsidRPr="00D46544">
              <w:rPr>
                <w:rFonts w:cstheme="minorHAnsi"/>
                <w:color w:val="002060"/>
                <w:sz w:val="24"/>
                <w:szCs w:val="24"/>
                <w:lang w:val="ro-RO"/>
              </w:rPr>
              <w:t>țare.</w:t>
            </w:r>
          </w:p>
          <w:p w14:paraId="1F5C0A70" w14:textId="77777777" w:rsidR="0003098C" w:rsidRPr="00D46544" w:rsidRDefault="0003098C" w:rsidP="00D46544">
            <w:pPr>
              <w:spacing w:before="60"/>
              <w:ind w:right="119"/>
              <w:jc w:val="both"/>
              <w:rPr>
                <w:rFonts w:cstheme="minorHAnsi"/>
                <w:color w:val="002060"/>
                <w:sz w:val="24"/>
                <w:szCs w:val="24"/>
                <w:lang w:val="ro-RO"/>
              </w:rPr>
            </w:pPr>
          </w:p>
          <w:p w14:paraId="276422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77CB2EF" w14:textId="58EED23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Modalitatea de calcul – suma estimată a numărului de întreprinderi care vor beneficia de sprijin în proiect.</w:t>
            </w:r>
          </w:p>
          <w:p w14:paraId="10A5B2C0" w14:textId="77777777" w:rsidR="0003098C" w:rsidRPr="00D46544" w:rsidRDefault="0003098C" w:rsidP="00D46544">
            <w:pPr>
              <w:spacing w:before="60"/>
              <w:ind w:right="120"/>
              <w:jc w:val="both"/>
              <w:rPr>
                <w:rFonts w:cstheme="minorHAnsi"/>
                <w:b/>
                <w:color w:val="002060"/>
                <w:sz w:val="24"/>
                <w:szCs w:val="24"/>
                <w:lang w:val="ro-RO"/>
              </w:rPr>
            </w:pPr>
          </w:p>
          <w:p w14:paraId="6B5E2212" w14:textId="185B91EF"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7E608595" w14:textId="77777777" w:rsidR="005E53CE"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Beneficiarul va raporta valoarea realizată pentru acest indicator, în timpul implementării, dacă IMM-urile sprijinite au finalizat activitățile din proiect.</w:t>
            </w:r>
          </w:p>
          <w:p w14:paraId="40203472" w14:textId="77777777" w:rsidR="009B48D6" w:rsidRPr="00D46544" w:rsidRDefault="009B48D6" w:rsidP="00D46544">
            <w:pPr>
              <w:spacing w:before="60"/>
              <w:ind w:right="120"/>
              <w:jc w:val="both"/>
              <w:rPr>
                <w:rFonts w:cstheme="minorHAnsi"/>
                <w:bCs/>
                <w:color w:val="002060"/>
                <w:sz w:val="24"/>
                <w:szCs w:val="24"/>
                <w:lang w:val="ro-RO"/>
              </w:rPr>
            </w:pPr>
          </w:p>
          <w:p w14:paraId="573E3FF3" w14:textId="1E6A8836" w:rsidR="00051A77" w:rsidRPr="00D46544" w:rsidRDefault="00051A77" w:rsidP="00D46544">
            <w:pPr>
              <w:spacing w:before="60"/>
              <w:ind w:right="120"/>
              <w:jc w:val="both"/>
              <w:rPr>
                <w:b/>
                <w:color w:val="002060"/>
                <w:sz w:val="24"/>
                <w:u w:val="single"/>
                <w:lang w:val="ro-RO"/>
              </w:rPr>
            </w:pPr>
            <w:r w:rsidRPr="00D46544">
              <w:rPr>
                <w:rFonts w:cstheme="minorHAnsi"/>
                <w:b/>
                <w:color w:val="002060"/>
                <w:sz w:val="24"/>
                <w:szCs w:val="24"/>
                <w:u w:val="single"/>
                <w:lang w:val="ro-RO"/>
              </w:rPr>
              <w:t>Raportare</w:t>
            </w:r>
            <w:r w:rsidR="00704B09" w:rsidRPr="00D46544">
              <w:rPr>
                <w:rFonts w:cstheme="minorHAnsi"/>
                <w:b/>
                <w:color w:val="002060"/>
                <w:sz w:val="24"/>
                <w:szCs w:val="24"/>
                <w:u w:val="single"/>
                <w:lang w:val="ro-RO"/>
              </w:rPr>
              <w:t>a în</w:t>
            </w:r>
            <w:r w:rsidR="00704B09" w:rsidRPr="00D46544">
              <w:rPr>
                <w:b/>
                <w:color w:val="002060"/>
                <w:sz w:val="24"/>
                <w:u w:val="single"/>
                <w:lang w:val="ro-RO"/>
              </w:rPr>
              <w:t xml:space="preserve"> </w:t>
            </w:r>
            <w:r w:rsidRPr="00D46544">
              <w:rPr>
                <w:b/>
                <w:color w:val="002060"/>
                <w:sz w:val="24"/>
                <w:u w:val="single"/>
                <w:lang w:val="ro-RO"/>
              </w:rPr>
              <w:t>funcție de regiunea de dezvoltare</w:t>
            </w:r>
          </w:p>
          <w:p w14:paraId="506A32ED" w14:textId="22BF46E1" w:rsidR="009B48D6" w:rsidRPr="00D46544" w:rsidRDefault="009B48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RCO02 pe tip de regiune de dezvoltare (regiune mai dezvoltată/regiune mai puțin dezvoltată), se face exclusiv </w:t>
            </w:r>
            <w:r w:rsidR="00C54EFC" w:rsidRPr="00D46544">
              <w:rPr>
                <w:rFonts w:cstheme="minorHAnsi"/>
                <w:bCs/>
                <w:color w:val="002060"/>
                <w:sz w:val="24"/>
                <w:szCs w:val="24"/>
                <w:lang w:val="ro-RO"/>
              </w:rPr>
              <w:t xml:space="preserve">în </w:t>
            </w:r>
            <w:r w:rsidRPr="00D46544">
              <w:rPr>
                <w:rFonts w:cstheme="minorHAnsi"/>
                <w:bCs/>
                <w:color w:val="002060"/>
                <w:sz w:val="24"/>
                <w:szCs w:val="24"/>
                <w:lang w:val="ro-RO"/>
              </w:rPr>
              <w:t xml:space="preserve">funcție de  </w:t>
            </w:r>
            <w:r w:rsidR="00C54EFC" w:rsidRPr="00D46544">
              <w:rPr>
                <w:rFonts w:cstheme="minorHAnsi"/>
                <w:bCs/>
                <w:color w:val="002060"/>
                <w:sz w:val="24"/>
                <w:szCs w:val="24"/>
                <w:lang w:val="ro-RO"/>
              </w:rPr>
              <w:t>locația de implementare a proiectului/activităților</w:t>
            </w:r>
            <w:r w:rsidRPr="00D46544">
              <w:rPr>
                <w:rFonts w:cstheme="minorHAnsi"/>
                <w:bCs/>
                <w:color w:val="002060"/>
                <w:sz w:val="24"/>
                <w:szCs w:val="24"/>
                <w:lang w:val="ro-RO"/>
              </w:rPr>
              <w:t>.</w:t>
            </w:r>
          </w:p>
          <w:p w14:paraId="2A88F933" w14:textId="37D7FA53" w:rsidR="00051A77" w:rsidRPr="00D46544" w:rsidRDefault="00051A77" w:rsidP="00D46544">
            <w:pPr>
              <w:spacing w:before="60"/>
              <w:ind w:right="120"/>
              <w:jc w:val="both"/>
              <w:rPr>
                <w:rFonts w:cstheme="minorHAnsi"/>
                <w:bCs/>
                <w:color w:val="002060"/>
                <w:sz w:val="24"/>
                <w:szCs w:val="24"/>
                <w:lang w:val="ro-RO"/>
              </w:rPr>
            </w:pPr>
          </w:p>
        </w:tc>
      </w:tr>
      <w:tr w:rsidR="00D46544" w:rsidRPr="00D46544" w14:paraId="17C31EAC" w14:textId="77777777" w:rsidTr="009B48D6">
        <w:trPr>
          <w:trHeight w:val="306"/>
        </w:trPr>
        <w:tc>
          <w:tcPr>
            <w:tcW w:w="575" w:type="pct"/>
          </w:tcPr>
          <w:p w14:paraId="46077BB0" w14:textId="20623238"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RCO06</w:t>
            </w:r>
          </w:p>
        </w:tc>
        <w:tc>
          <w:tcPr>
            <w:tcW w:w="760" w:type="pct"/>
          </w:tcPr>
          <w:p w14:paraId="638BE4CB" w14:textId="55C2ED90"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Cercetători care lucrează în centre de cercetare care beneficiază de sprijin</w:t>
            </w:r>
          </w:p>
        </w:tc>
        <w:tc>
          <w:tcPr>
            <w:tcW w:w="504" w:type="pct"/>
          </w:tcPr>
          <w:p w14:paraId="6C320133"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2F469221" w14:textId="77777777" w:rsidR="0003098C" w:rsidRPr="00D46544" w:rsidRDefault="0003098C" w:rsidP="00D46544">
            <w:pPr>
              <w:spacing w:before="60"/>
              <w:ind w:right="120"/>
              <w:jc w:val="both"/>
              <w:rPr>
                <w:rFonts w:cstheme="minorHAnsi"/>
                <w:iCs/>
                <w:color w:val="002060"/>
                <w:sz w:val="24"/>
                <w:szCs w:val="24"/>
                <w:lang w:val="ro-RO"/>
              </w:rPr>
            </w:pPr>
          </w:p>
        </w:tc>
        <w:tc>
          <w:tcPr>
            <w:tcW w:w="548" w:type="pct"/>
          </w:tcPr>
          <w:p w14:paraId="7687B004" w14:textId="4FB00898" w:rsidR="0003098C" w:rsidRPr="00D46544" w:rsidRDefault="0003098C" w:rsidP="00D46544">
            <w:pPr>
              <w:spacing w:before="60"/>
              <w:ind w:right="120"/>
              <w:jc w:val="both"/>
              <w:rPr>
                <w:rFonts w:cstheme="minorHAnsi"/>
                <w:color w:val="002060"/>
                <w:sz w:val="24"/>
                <w:szCs w:val="24"/>
                <w:lang w:val="ro-RO"/>
              </w:rPr>
            </w:pPr>
            <w:r w:rsidRPr="00D46544">
              <w:rPr>
                <w:rFonts w:cstheme="minorHAnsi"/>
                <w:iCs/>
                <w:color w:val="002060"/>
                <w:sz w:val="24"/>
                <w:szCs w:val="24"/>
                <w:lang w:val="ro-RO"/>
              </w:rPr>
              <w:t>ENI anual</w:t>
            </w:r>
          </w:p>
        </w:tc>
        <w:tc>
          <w:tcPr>
            <w:tcW w:w="2612" w:type="pct"/>
          </w:tcPr>
          <w:p w14:paraId="4A2F1C4E"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ACA56CF" w14:textId="4C9A4448"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Numărul de cercetători care utilizează direct, în activitatea lor, unitatea de cercetare sau echipamentele pentru care se acordă sprijinul.</w:t>
            </w:r>
          </w:p>
          <w:p w14:paraId="3AE9DC53" w14:textId="70DA4F0D"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 al personalului de cercetare și dezvoltare este definit ca raportul dintre orele de lucru efectiv petrecute în cercetare și dezvoltare pe parcursul unui an</w:t>
            </w:r>
            <w:r w:rsidR="00BA7DBE" w:rsidRPr="00D46544">
              <w:rPr>
                <w:rFonts w:cstheme="minorHAnsi"/>
                <w:color w:val="002060"/>
                <w:sz w:val="24"/>
                <w:szCs w:val="24"/>
                <w:lang w:val="ro-RO"/>
              </w:rPr>
              <w:t xml:space="preserve"> </w:t>
            </w:r>
            <w:r w:rsidRPr="00D46544">
              <w:rPr>
                <w:rFonts w:cstheme="minorHAnsi"/>
                <w:color w:val="002060"/>
                <w:sz w:val="24"/>
                <w:szCs w:val="24"/>
                <w:lang w:val="ro-RO"/>
              </w:rPr>
              <w:t xml:space="preserve">calendaristic împărțit la numărul total de ore lucrate în mod convențional în aceeași perioadă de către o persoană sau un grup. </w:t>
            </w:r>
          </w:p>
          <w:p w14:paraId="42561688" w14:textId="77777777" w:rsidR="0003098C" w:rsidRPr="00D46544" w:rsidRDefault="0003098C" w:rsidP="00D46544">
            <w:pPr>
              <w:spacing w:before="60"/>
              <w:ind w:right="120"/>
              <w:jc w:val="both"/>
              <w:rPr>
                <w:rFonts w:cstheme="minorHAnsi"/>
                <w:color w:val="002060"/>
                <w:sz w:val="24"/>
                <w:szCs w:val="24"/>
                <w:lang w:val="ro-RO"/>
              </w:rPr>
            </w:pPr>
          </w:p>
          <w:p w14:paraId="2747BCE8" w14:textId="62D06C5E"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calcul:</w:t>
            </w:r>
          </w:p>
          <w:p w14:paraId="1C1D68EF" w14:textId="1AE8DF8A"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Pentru calculul ENI anual se folosește numărul de ore de lucru normative/ statutare pe an în România de 40 ore/</w:t>
            </w:r>
            <w:r w:rsidR="009B48D6" w:rsidRPr="00D46544">
              <w:rPr>
                <w:rFonts w:cstheme="minorHAnsi"/>
                <w:color w:val="002060"/>
                <w:sz w:val="24"/>
                <w:szCs w:val="24"/>
                <w:lang w:val="ro-RO"/>
              </w:rPr>
              <w:t>săptămână</w:t>
            </w:r>
            <w:r w:rsidRPr="00D46544">
              <w:rPr>
                <w:rFonts w:cstheme="minorHAnsi"/>
                <w:color w:val="002060"/>
                <w:sz w:val="24"/>
                <w:szCs w:val="24"/>
                <w:lang w:val="ro-RO"/>
              </w:rPr>
              <w:t xml:space="preserve"> timp de 52 </w:t>
            </w:r>
            <w:r w:rsidR="009B48D6" w:rsidRPr="00D46544">
              <w:rPr>
                <w:rFonts w:cstheme="minorHAnsi"/>
                <w:color w:val="002060"/>
                <w:sz w:val="24"/>
                <w:szCs w:val="24"/>
                <w:lang w:val="ro-RO"/>
              </w:rPr>
              <w:t>săptămâni</w:t>
            </w:r>
            <w:r w:rsidRPr="00D46544">
              <w:rPr>
                <w:rFonts w:cstheme="minorHAnsi"/>
                <w:color w:val="002060"/>
                <w:sz w:val="24"/>
                <w:szCs w:val="24"/>
                <w:lang w:val="ro-RO"/>
              </w:rPr>
              <w:t xml:space="preserve">. În calculul ENI se iau în calcul zilele lucrate și zilele de concediu legal (toate </w:t>
            </w:r>
            <w:r w:rsidRPr="00D46544">
              <w:rPr>
                <w:rFonts w:cstheme="minorHAnsi"/>
                <w:color w:val="002060"/>
                <w:sz w:val="24"/>
                <w:szCs w:val="24"/>
                <w:lang w:val="ro-RO"/>
              </w:rPr>
              <w:lastRenderedPageBreak/>
              <w:t xml:space="preserve">tipurile de concediu plătit la care dă dreptul legislația în vigoare), dar nu se iau în calcul zilele de concediu fără plată, zile în care se consideră raportul de muncă suspendat. Calculul se </w:t>
            </w:r>
            <w:r w:rsidR="009B48D6" w:rsidRPr="00D46544">
              <w:rPr>
                <w:rFonts w:cstheme="minorHAnsi"/>
                <w:color w:val="002060"/>
                <w:sz w:val="24"/>
                <w:szCs w:val="24"/>
                <w:lang w:val="ro-RO"/>
              </w:rPr>
              <w:t>efectuează</w:t>
            </w:r>
            <w:r w:rsidRPr="00D46544">
              <w:rPr>
                <w:rFonts w:cstheme="minorHAnsi"/>
                <w:color w:val="002060"/>
                <w:sz w:val="24"/>
                <w:szCs w:val="24"/>
                <w:lang w:val="ro-RO"/>
              </w:rPr>
              <w:t xml:space="preserve"> </w:t>
            </w:r>
            <w:proofErr w:type="spellStart"/>
            <w:r w:rsidRPr="00D46544">
              <w:rPr>
                <w:rFonts w:cstheme="minorHAnsi"/>
                <w:color w:val="002060"/>
                <w:sz w:val="24"/>
                <w:szCs w:val="24"/>
                <w:lang w:val="ro-RO"/>
              </w:rPr>
              <w:t>atât</w:t>
            </w:r>
            <w:proofErr w:type="spellEnd"/>
            <w:r w:rsidRPr="00D46544">
              <w:rPr>
                <w:rFonts w:cstheme="minorHAnsi"/>
                <w:color w:val="002060"/>
                <w:sz w:val="24"/>
                <w:szCs w:val="24"/>
                <w:lang w:val="ro-RO"/>
              </w:rPr>
              <w:t xml:space="preserve"> pentru angajații cu normă întreagă, cât și pentru salariatul cu normă parțială.</w:t>
            </w:r>
          </w:p>
          <w:p w14:paraId="63D17349" w14:textId="16367840" w:rsidR="0003098C" w:rsidRPr="00D46544" w:rsidRDefault="0003098C"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 xml:space="preserve">Formula: ENI anual= Σ număr ore lucrate în proiect în timpul unui an (incluzând și 8h pentru fiecare zi de concediu legal </w:t>
            </w:r>
            <w:r w:rsidR="00A90E2F" w:rsidRPr="00D46544">
              <w:rPr>
                <w:rFonts w:cstheme="minorHAnsi"/>
                <w:b/>
                <w:bCs/>
                <w:color w:val="002060"/>
                <w:sz w:val="24"/>
                <w:szCs w:val="24"/>
                <w:lang w:val="ro-RO"/>
              </w:rPr>
              <w:t xml:space="preserve"> și zile libere legale plătite, </w:t>
            </w:r>
            <w:r w:rsidRPr="00D46544">
              <w:rPr>
                <w:rFonts w:cstheme="minorHAnsi"/>
                <w:b/>
                <w:bCs/>
                <w:color w:val="002060"/>
                <w:sz w:val="24"/>
                <w:szCs w:val="24"/>
                <w:lang w:val="ro-RO"/>
              </w:rPr>
              <w:t>dac</w:t>
            </w:r>
            <w:r w:rsidR="00A90E2F" w:rsidRPr="00D46544">
              <w:rPr>
                <w:rFonts w:cstheme="minorHAnsi"/>
                <w:b/>
                <w:bCs/>
                <w:color w:val="002060"/>
                <w:sz w:val="24"/>
                <w:szCs w:val="24"/>
                <w:lang w:val="ro-RO"/>
              </w:rPr>
              <w:t>ă</w:t>
            </w:r>
            <w:r w:rsidRPr="00D46544">
              <w:rPr>
                <w:rFonts w:cstheme="minorHAnsi"/>
                <w:b/>
                <w:bCs/>
                <w:color w:val="002060"/>
                <w:sz w:val="24"/>
                <w:szCs w:val="24"/>
                <w:lang w:val="ro-RO"/>
              </w:rPr>
              <w:t xml:space="preserve"> este cazul)/ (52 </w:t>
            </w:r>
            <w:r w:rsidR="009B48D6" w:rsidRPr="00D46544">
              <w:rPr>
                <w:rFonts w:cstheme="minorHAnsi"/>
                <w:b/>
                <w:bCs/>
                <w:color w:val="002060"/>
                <w:sz w:val="24"/>
                <w:szCs w:val="24"/>
                <w:lang w:val="ro-RO"/>
              </w:rPr>
              <w:t>săptămâni</w:t>
            </w:r>
            <w:r w:rsidRPr="00D46544">
              <w:rPr>
                <w:rFonts w:cstheme="minorHAnsi"/>
                <w:b/>
                <w:bCs/>
                <w:color w:val="002060"/>
                <w:sz w:val="24"/>
                <w:szCs w:val="24"/>
                <w:lang w:val="ro-RO"/>
              </w:rPr>
              <w:t>* 40 ore/</w:t>
            </w:r>
            <w:r w:rsidR="009B48D6" w:rsidRPr="00D46544">
              <w:rPr>
                <w:rFonts w:cstheme="minorHAnsi"/>
                <w:b/>
                <w:bCs/>
                <w:color w:val="002060"/>
                <w:sz w:val="24"/>
                <w:szCs w:val="24"/>
                <w:lang w:val="ro-RO"/>
              </w:rPr>
              <w:t>săptămână</w:t>
            </w:r>
            <w:r w:rsidRPr="00D46544">
              <w:rPr>
                <w:rFonts w:cstheme="minorHAnsi"/>
                <w:b/>
                <w:bCs/>
                <w:color w:val="002060"/>
                <w:sz w:val="24"/>
                <w:szCs w:val="24"/>
                <w:lang w:val="ro-RO"/>
              </w:rPr>
              <w:t>).</w:t>
            </w:r>
          </w:p>
          <w:p w14:paraId="24D3E210" w14:textId="508E682F"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Indicatorul nu include și cercetătorii externi </w:t>
            </w:r>
            <w:r w:rsidR="00544580" w:rsidRPr="00D46544">
              <w:rPr>
                <w:rFonts w:cstheme="minorHAnsi"/>
                <w:color w:val="002060"/>
                <w:sz w:val="24"/>
                <w:szCs w:val="24"/>
                <w:lang w:val="ro-RO"/>
              </w:rPr>
              <w:t xml:space="preserve">proiectului/entității sprijinite </w:t>
            </w:r>
            <w:r w:rsidRPr="00D46544">
              <w:rPr>
                <w:rFonts w:cstheme="minorHAnsi"/>
                <w:color w:val="002060"/>
                <w:sz w:val="24"/>
                <w:szCs w:val="24"/>
                <w:lang w:val="ro-RO"/>
              </w:rPr>
              <w:t>care utilizează echipamentele liniei de activitate/unității de cercetare sprijinite.</w:t>
            </w:r>
          </w:p>
          <w:p w14:paraId="26718DAC" w14:textId="77777777" w:rsidR="0003098C" w:rsidRPr="00D46544" w:rsidRDefault="0003098C" w:rsidP="00D46544">
            <w:pPr>
              <w:spacing w:before="60"/>
              <w:ind w:right="120"/>
              <w:jc w:val="both"/>
              <w:rPr>
                <w:rFonts w:cstheme="minorHAnsi"/>
                <w:color w:val="002060"/>
                <w:sz w:val="24"/>
                <w:szCs w:val="24"/>
                <w:lang w:val="ro-RO"/>
              </w:rPr>
            </w:pPr>
          </w:p>
          <w:p w14:paraId="231EFBE0"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0B61D40C" w14:textId="5A03BB75" w:rsidR="0003098C" w:rsidRPr="00D46544" w:rsidRDefault="0003098C" w:rsidP="00D46544">
            <w:pPr>
              <w:spacing w:before="60"/>
              <w:ind w:right="120"/>
              <w:jc w:val="both"/>
              <w:rPr>
                <w:rFonts w:cstheme="minorHAnsi"/>
                <w:color w:val="002060"/>
                <w:sz w:val="24"/>
                <w:szCs w:val="24"/>
                <w:lang w:val="ro-RO"/>
              </w:rPr>
            </w:pPr>
            <w:r w:rsidRPr="00D46544">
              <w:rPr>
                <w:rFonts w:cstheme="minorHAnsi"/>
                <w:bCs/>
                <w:color w:val="002060"/>
                <w:sz w:val="24"/>
                <w:szCs w:val="24"/>
                <w:lang w:val="ro-RO"/>
              </w:rPr>
              <w:t>Beneficiarul va raporta trimestrial, valoarea</w:t>
            </w:r>
            <w:r w:rsidRPr="00D46544">
              <w:rPr>
                <w:rFonts w:cstheme="minorHAnsi"/>
                <w:color w:val="002060"/>
                <w:sz w:val="24"/>
                <w:szCs w:val="24"/>
                <w:lang w:val="ro-RO"/>
              </w:rPr>
              <w:t xml:space="preserve"> ENI anual pentru cercetătorii angajați în activitatea de cercetare sprijinită.</w:t>
            </w:r>
          </w:p>
          <w:p w14:paraId="574070A6"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Beneficiarul trebuie să demonstreze valorile realizate (raportate) cu documente justificative (de ex. contract de munca, ștat de plată, fișă de pontaj).</w:t>
            </w:r>
          </w:p>
          <w:p w14:paraId="3690D4C5" w14:textId="77777777" w:rsidR="002460B0" w:rsidRPr="00D46544" w:rsidRDefault="002460B0" w:rsidP="00D46544">
            <w:pPr>
              <w:spacing w:before="60"/>
              <w:ind w:right="120"/>
              <w:jc w:val="both"/>
              <w:rPr>
                <w:rFonts w:cstheme="minorHAnsi"/>
                <w:color w:val="002060"/>
                <w:sz w:val="24"/>
                <w:szCs w:val="24"/>
                <w:lang w:val="ro-RO"/>
              </w:rPr>
            </w:pPr>
          </w:p>
          <w:p w14:paraId="5A51A0C5" w14:textId="72720A72" w:rsidR="009B48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C54EFC" w:rsidRPr="00D46544">
              <w:rPr>
                <w:rFonts w:cstheme="minorHAnsi"/>
                <w:b/>
                <w:color w:val="002060"/>
                <w:sz w:val="24"/>
                <w:szCs w:val="24"/>
                <w:lang w:val="ro-RO"/>
              </w:rPr>
              <w:t xml:space="preserve"> în</w:t>
            </w:r>
            <w:r w:rsidRPr="00D46544">
              <w:rPr>
                <w:rFonts w:cstheme="minorHAnsi"/>
                <w:b/>
                <w:color w:val="002060"/>
                <w:sz w:val="24"/>
                <w:szCs w:val="24"/>
                <w:lang w:val="ro-RO"/>
              </w:rPr>
              <w:t xml:space="preserve"> funcție de regiunea de dezvoltare</w:t>
            </w:r>
          </w:p>
          <w:p w14:paraId="20512BDC" w14:textId="0F8F250E" w:rsidR="002460B0" w:rsidRPr="00D46544" w:rsidRDefault="000E7052"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 RCO0</w:t>
            </w:r>
            <w:r w:rsidR="00AA5C88" w:rsidRPr="00D46544">
              <w:rPr>
                <w:rFonts w:cstheme="minorHAnsi"/>
                <w:bCs/>
                <w:color w:val="002060"/>
                <w:sz w:val="24"/>
                <w:szCs w:val="24"/>
                <w:lang w:val="ro-RO"/>
              </w:rPr>
              <w:t>6</w:t>
            </w:r>
            <w:r w:rsidRPr="00D46544">
              <w:rPr>
                <w:rFonts w:cstheme="minorHAnsi"/>
                <w:bCs/>
                <w:color w:val="002060"/>
                <w:sz w:val="24"/>
                <w:szCs w:val="24"/>
                <w:lang w:val="ro-RO"/>
              </w:rPr>
              <w:t xml:space="preserve"> </w:t>
            </w:r>
            <w:r w:rsidR="00DE7A38" w:rsidRPr="00D46544">
              <w:rPr>
                <w:rFonts w:cstheme="minorHAnsi"/>
                <w:bCs/>
                <w:color w:val="002060"/>
                <w:sz w:val="24"/>
                <w:szCs w:val="24"/>
                <w:lang w:val="ro-RO"/>
              </w:rPr>
              <w:t xml:space="preserve">în funcție </w:t>
            </w:r>
            <w:r w:rsidRPr="00D46544">
              <w:rPr>
                <w:rFonts w:cstheme="minorHAnsi"/>
                <w:bCs/>
                <w:color w:val="002060"/>
                <w:sz w:val="24"/>
                <w:szCs w:val="24"/>
                <w:lang w:val="ro-RO"/>
              </w:rPr>
              <w:t>de regiune</w:t>
            </w:r>
            <w:r w:rsidR="00DE7A38" w:rsidRPr="00D46544">
              <w:rPr>
                <w:rFonts w:cstheme="minorHAnsi"/>
                <w:bCs/>
                <w:color w:val="002060"/>
                <w:sz w:val="24"/>
                <w:szCs w:val="24"/>
                <w:lang w:val="ro-RO"/>
              </w:rPr>
              <w:t>a</w:t>
            </w:r>
            <w:r w:rsidRPr="00D46544">
              <w:rPr>
                <w:rFonts w:cstheme="minorHAnsi"/>
                <w:bCs/>
                <w:color w:val="002060"/>
                <w:sz w:val="24"/>
                <w:szCs w:val="24"/>
                <w:lang w:val="ro-RO"/>
              </w:rPr>
              <w:t xml:space="preserve"> de dezvoltare</w:t>
            </w:r>
            <w:r w:rsidR="00DE7A38" w:rsidRPr="00D46544">
              <w:rPr>
                <w:rFonts w:cstheme="minorHAnsi"/>
                <w:bCs/>
                <w:color w:val="002060"/>
                <w:sz w:val="24"/>
                <w:szCs w:val="24"/>
                <w:lang w:val="ro-RO"/>
              </w:rPr>
              <w:t xml:space="preserve"> (regiune mai puțin dezvoltată/regiune mai dezvoltată) se face ținând cont de </w:t>
            </w:r>
            <w:r w:rsidR="00C54EFC" w:rsidRPr="00D46544">
              <w:rPr>
                <w:rFonts w:cstheme="minorHAnsi"/>
                <w:bCs/>
                <w:color w:val="002060"/>
                <w:sz w:val="24"/>
                <w:szCs w:val="24"/>
                <w:lang w:val="ro-RO"/>
              </w:rPr>
              <w:t>locația de implementare a proiectului/ activităților</w:t>
            </w:r>
            <w:r w:rsidR="00DE7A38" w:rsidRPr="00D46544">
              <w:rPr>
                <w:rFonts w:cstheme="minorHAnsi"/>
                <w:bCs/>
                <w:color w:val="002060"/>
                <w:sz w:val="24"/>
                <w:szCs w:val="24"/>
                <w:lang w:val="ro-RO"/>
              </w:rPr>
              <w:t xml:space="preserve"> în care cercetă</w:t>
            </w:r>
            <w:r w:rsidR="00C54EFC" w:rsidRPr="00D46544">
              <w:rPr>
                <w:rFonts w:cstheme="minorHAnsi"/>
                <w:bCs/>
                <w:color w:val="002060"/>
                <w:sz w:val="24"/>
                <w:szCs w:val="24"/>
                <w:lang w:val="ro-RO"/>
              </w:rPr>
              <w:t>torul își desfășoară activitatea</w:t>
            </w:r>
            <w:r w:rsidR="0039784D" w:rsidRPr="00D46544">
              <w:rPr>
                <w:rFonts w:cstheme="minorHAnsi"/>
                <w:bCs/>
                <w:color w:val="002060"/>
                <w:sz w:val="24"/>
                <w:szCs w:val="24"/>
                <w:lang w:val="ro-RO"/>
              </w:rPr>
              <w:t>.</w:t>
            </w:r>
          </w:p>
          <w:p w14:paraId="08A8CD27" w14:textId="77777777" w:rsidR="00614374" w:rsidRPr="00D46544" w:rsidRDefault="00614374" w:rsidP="00D46544">
            <w:pPr>
              <w:spacing w:before="60"/>
              <w:ind w:right="120"/>
              <w:jc w:val="both"/>
              <w:rPr>
                <w:rFonts w:cstheme="minorHAnsi"/>
                <w:bCs/>
                <w:color w:val="002060"/>
                <w:sz w:val="24"/>
                <w:szCs w:val="24"/>
                <w:lang w:val="ro-RO"/>
              </w:rPr>
            </w:pPr>
          </w:p>
          <w:p w14:paraId="3172511B" w14:textId="1E7E6525" w:rsidR="00AD3612" w:rsidRPr="00D46544" w:rsidRDefault="00AD3612"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lastRenderedPageBreak/>
              <w:t>Notă:</w:t>
            </w:r>
          </w:p>
          <w:p w14:paraId="140D55CC" w14:textId="22C48BE2" w:rsidR="00EC0E18" w:rsidRPr="00D46544" w:rsidRDefault="00EC0E18"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Orele suplimentare efectuate de persoanele angajate cu normă întreagă nu se contabilizează pentru raportarea indicatorului, deoarece o persoană nu poate efectua mai mult de un ENI anual. </w:t>
            </w:r>
          </w:p>
          <w:p w14:paraId="1C8E3CE7" w14:textId="6551537D" w:rsidR="00AD3612" w:rsidRPr="00D46544" w:rsidRDefault="00544580"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Nu vor fi numărate posturile vacante de cercetare și dezvoltare și nici personalul de sprijin/auxiliar (și anume posturile care nu sunt direct implicate în activități de cercetare și dezvoltare). Pentru a putea fi considerat la calculul indicatorului RCO06, cercetătorul/cercetătorii trebuie să fie deja angajați la momentul depunerii cererii de finanțare. </w:t>
            </w:r>
            <w:r w:rsidR="00AD3612" w:rsidRPr="00D46544">
              <w:rPr>
                <w:rFonts w:cstheme="minorHAnsi"/>
                <w:bCs/>
                <w:color w:val="002060"/>
                <w:sz w:val="24"/>
                <w:szCs w:val="24"/>
                <w:lang w:val="ro-RO"/>
              </w:rPr>
              <w:t>Dacă în unitate</w:t>
            </w:r>
            <w:r w:rsidR="00313AC1" w:rsidRPr="00D46544">
              <w:rPr>
                <w:rFonts w:cstheme="minorHAnsi"/>
                <w:bCs/>
                <w:color w:val="002060"/>
                <w:sz w:val="24"/>
                <w:szCs w:val="24"/>
                <w:lang w:val="ro-RO"/>
              </w:rPr>
              <w:t>a de cercetare</w:t>
            </w:r>
            <w:r w:rsidR="00AD3612" w:rsidRPr="00D46544">
              <w:rPr>
                <w:rFonts w:cstheme="minorHAnsi"/>
                <w:bCs/>
                <w:color w:val="002060"/>
                <w:sz w:val="24"/>
                <w:szCs w:val="24"/>
                <w:lang w:val="ro-RO"/>
              </w:rPr>
              <w:t xml:space="preserve"> sunt angajați mai mulți cercetători ca o consecință directă a proiectului (adică posturi vacante ocupate sau posturi noi create), noii cercetători sunt numărați în RCR102 - Locuri de muncă de cercetare în entitățile sprijinite).</w:t>
            </w:r>
          </w:p>
        </w:tc>
      </w:tr>
      <w:tr w:rsidR="00D46544" w:rsidRPr="00D46544" w14:paraId="4F071959" w14:textId="77777777" w:rsidTr="009B48D6">
        <w:trPr>
          <w:trHeight w:val="306"/>
        </w:trPr>
        <w:tc>
          <w:tcPr>
            <w:tcW w:w="575" w:type="pct"/>
          </w:tcPr>
          <w:p w14:paraId="77A1C1F3" w14:textId="4AC54BC0"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RCO07</w:t>
            </w:r>
          </w:p>
        </w:tc>
        <w:tc>
          <w:tcPr>
            <w:tcW w:w="760" w:type="pct"/>
          </w:tcPr>
          <w:p w14:paraId="139A7CC5" w14:textId="63C9A17A"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Organizații de cercetare care participă la proiecte de cercetare comune</w:t>
            </w:r>
          </w:p>
        </w:tc>
        <w:tc>
          <w:tcPr>
            <w:tcW w:w="504" w:type="pct"/>
          </w:tcPr>
          <w:p w14:paraId="55650088"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3751C1B8"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329E9516" w14:textId="4160BD7A" w:rsidR="0003098C" w:rsidRPr="00D46544" w:rsidRDefault="0003098C" w:rsidP="00D46544">
            <w:pPr>
              <w:spacing w:before="60"/>
              <w:ind w:right="120"/>
              <w:jc w:val="both"/>
              <w:rPr>
                <w:rFonts w:cstheme="minorHAnsi"/>
                <w:iCs/>
                <w:color w:val="002060"/>
                <w:sz w:val="24"/>
                <w:szCs w:val="24"/>
                <w:lang w:val="ro-RO"/>
              </w:rPr>
            </w:pPr>
            <w:r w:rsidRPr="00D46544">
              <w:rPr>
                <w:rFonts w:cstheme="minorHAnsi"/>
                <w:color w:val="002060"/>
                <w:sz w:val="24"/>
                <w:szCs w:val="24"/>
                <w:lang w:val="ro-RO"/>
              </w:rPr>
              <w:t>Organizații de cercetare</w:t>
            </w:r>
          </w:p>
        </w:tc>
        <w:tc>
          <w:tcPr>
            <w:tcW w:w="2612" w:type="pct"/>
          </w:tcPr>
          <w:p w14:paraId="13C3A896" w14:textId="77777777" w:rsidR="00F40EBA"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BD93E69" w14:textId="722BC223"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Numărul de organizații de cercetare sprijinite, care cooperează în proiecte comune de cercetare. Un proiect comun de cercetare include cel puțin o organizație de cercetare și un alt partener (de ex. o întreprindere, o altă organizație de cercetare etc.). </w:t>
            </w:r>
          </w:p>
          <w:p w14:paraId="7DEE2EA1" w14:textId="77777777"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Organizațiile de cercetare sunt organisme cu scopul principal de a efectua independent cercetare fundamentală, cercetare industrială și dezvoltare experimentală și de a disemina rezultatele unor astfel de activități prin predare, publicare sau transfer de cunoștințe. Exemplele includ universități sau institute de cercetare, agenții de transfer de tehnologie, intermediari de inovare, entități orientate spre cercetare sau </w:t>
            </w:r>
            <w:proofErr w:type="spellStart"/>
            <w:r w:rsidRPr="00D46544">
              <w:rPr>
                <w:rFonts w:cstheme="minorHAnsi"/>
                <w:bCs/>
                <w:color w:val="002060"/>
                <w:sz w:val="24"/>
                <w:szCs w:val="24"/>
                <w:lang w:val="ro-RO"/>
              </w:rPr>
              <w:t>colaborative</w:t>
            </w:r>
            <w:proofErr w:type="spellEnd"/>
            <w:r w:rsidRPr="00D46544">
              <w:rPr>
                <w:rFonts w:cstheme="minorHAnsi"/>
                <w:bCs/>
                <w:color w:val="002060"/>
                <w:sz w:val="24"/>
                <w:szCs w:val="24"/>
                <w:lang w:val="ro-RO"/>
              </w:rPr>
              <w:t xml:space="preserve"> virtuale și pot fi publice sau private.</w:t>
            </w:r>
          </w:p>
          <w:p w14:paraId="7C1B5389"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lastRenderedPageBreak/>
              <w:t>Modalitate de calcul:</w:t>
            </w:r>
          </w:p>
          <w:p w14:paraId="74D35D1D" w14:textId="6EA5009D"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Suma organizațiilor de cercetare care cooperează în cadrul proiectului/apelului.</w:t>
            </w:r>
          </w:p>
          <w:p w14:paraId="6E7AE7CB" w14:textId="77777777" w:rsidR="0003098C" w:rsidRPr="00D46544" w:rsidRDefault="0003098C" w:rsidP="00D46544">
            <w:pPr>
              <w:spacing w:before="60"/>
              <w:ind w:right="120"/>
              <w:jc w:val="both"/>
              <w:rPr>
                <w:rFonts w:cstheme="minorHAnsi"/>
                <w:b/>
                <w:bCs/>
                <w:color w:val="002060"/>
                <w:sz w:val="24"/>
                <w:szCs w:val="24"/>
                <w:lang w:val="ro-RO"/>
              </w:rPr>
            </w:pPr>
          </w:p>
          <w:p w14:paraId="7CA9E50F"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89FB516" w14:textId="69372050"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la momentul </w:t>
            </w:r>
            <w:r w:rsidR="00B232C2" w:rsidRPr="00D46544">
              <w:rPr>
                <w:rFonts w:cstheme="minorHAnsi"/>
                <w:bCs/>
                <w:color w:val="002060"/>
                <w:sz w:val="24"/>
                <w:szCs w:val="24"/>
                <w:lang w:val="ro-RO"/>
              </w:rPr>
              <w:t>semnării contractului de finanțare.</w:t>
            </w:r>
          </w:p>
          <w:p w14:paraId="6F25060A" w14:textId="77777777" w:rsidR="009B48D6" w:rsidRPr="00D46544" w:rsidRDefault="009B48D6" w:rsidP="00D46544">
            <w:pPr>
              <w:spacing w:before="60"/>
              <w:ind w:right="120"/>
              <w:jc w:val="both"/>
              <w:rPr>
                <w:rFonts w:cstheme="minorHAnsi"/>
                <w:bCs/>
                <w:color w:val="002060"/>
                <w:sz w:val="24"/>
                <w:szCs w:val="24"/>
                <w:lang w:val="ro-RO"/>
              </w:rPr>
            </w:pPr>
          </w:p>
          <w:p w14:paraId="606C99FA" w14:textId="24B32647" w:rsidR="009B48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 funcție de regiunea de dezvoltare</w:t>
            </w:r>
          </w:p>
          <w:p w14:paraId="07D03E26" w14:textId="77777777" w:rsidR="005E09F1" w:rsidRPr="00D46544" w:rsidRDefault="005E09F1" w:rsidP="00D46544">
            <w:pPr>
              <w:spacing w:before="60"/>
              <w:ind w:right="120"/>
              <w:jc w:val="both"/>
              <w:rPr>
                <w:rFonts w:cstheme="minorHAnsi"/>
                <w:b/>
                <w:color w:val="002060"/>
                <w:sz w:val="24"/>
                <w:szCs w:val="24"/>
                <w:lang w:val="ro-RO"/>
              </w:rPr>
            </w:pPr>
          </w:p>
          <w:p w14:paraId="08CA2C03" w14:textId="5335EE3A" w:rsidR="001E1E71" w:rsidRPr="00D46544" w:rsidRDefault="001E1E71" w:rsidP="00D46544">
            <w:pPr>
              <w:spacing w:before="60"/>
              <w:ind w:right="120"/>
              <w:jc w:val="both"/>
              <w:rPr>
                <w:rFonts w:cstheme="minorHAnsi"/>
                <w:b/>
                <w:color w:val="002060"/>
                <w:sz w:val="24"/>
                <w:szCs w:val="24"/>
                <w:lang w:val="ro-RO"/>
              </w:rPr>
            </w:pPr>
            <w:r w:rsidRPr="00D46544">
              <w:rPr>
                <w:rFonts w:cstheme="minorHAnsi"/>
                <w:bCs/>
                <w:color w:val="002060"/>
                <w:sz w:val="24"/>
                <w:szCs w:val="24"/>
                <w:lang w:val="ro-RO"/>
              </w:rPr>
              <w:t>Stabilirea și raportarea indicatorului RCO07 în funcție de regiunea de dezvoltare (regiune mai dezvoltată</w:t>
            </w:r>
            <w:r w:rsidR="00D3136E" w:rsidRPr="00D46544">
              <w:rPr>
                <w:rFonts w:cstheme="minorHAnsi"/>
                <w:bCs/>
                <w:color w:val="002060"/>
                <w:sz w:val="24"/>
                <w:szCs w:val="24"/>
                <w:lang w:val="ro-RO"/>
              </w:rPr>
              <w:t>/ regiune mai puțin dezvoltată</w:t>
            </w:r>
            <w:r w:rsidRPr="00D46544">
              <w:rPr>
                <w:rFonts w:cstheme="minorHAnsi"/>
                <w:bCs/>
                <w:color w:val="002060"/>
                <w:sz w:val="24"/>
                <w:szCs w:val="24"/>
                <w:lang w:val="ro-RO"/>
              </w:rPr>
              <w:t xml:space="preserve">) se </w:t>
            </w:r>
            <w:r w:rsidR="00302D66" w:rsidRPr="00D46544">
              <w:rPr>
                <w:rFonts w:cstheme="minorHAnsi"/>
                <w:bCs/>
                <w:color w:val="002060"/>
                <w:sz w:val="24"/>
                <w:szCs w:val="24"/>
                <w:lang w:val="ro-RO"/>
              </w:rPr>
              <w:t xml:space="preserve">face ținând cont de locația de implementare a activităților derulate de </w:t>
            </w:r>
            <w:r w:rsidRPr="00D46544">
              <w:rPr>
                <w:rFonts w:cstheme="minorHAnsi"/>
                <w:bCs/>
                <w:color w:val="002060"/>
                <w:sz w:val="24"/>
                <w:szCs w:val="24"/>
                <w:lang w:val="ro-RO"/>
              </w:rPr>
              <w:t>organizații</w:t>
            </w:r>
            <w:r w:rsidR="00302D66" w:rsidRPr="00D46544">
              <w:rPr>
                <w:rFonts w:cstheme="minorHAnsi"/>
                <w:bCs/>
                <w:color w:val="002060"/>
                <w:sz w:val="24"/>
                <w:szCs w:val="24"/>
                <w:lang w:val="ro-RO"/>
              </w:rPr>
              <w:t>le</w:t>
            </w:r>
            <w:r w:rsidRPr="00D46544">
              <w:rPr>
                <w:rFonts w:cstheme="minorHAnsi"/>
                <w:bCs/>
                <w:color w:val="002060"/>
                <w:sz w:val="24"/>
                <w:szCs w:val="24"/>
                <w:lang w:val="ro-RO"/>
              </w:rPr>
              <w:t xml:space="preserve"> de cercetare implicate în p</w:t>
            </w:r>
            <w:r w:rsidR="00942EFE" w:rsidRPr="00D46544">
              <w:rPr>
                <w:rFonts w:cstheme="minorHAnsi"/>
                <w:bCs/>
                <w:color w:val="002060"/>
                <w:sz w:val="24"/>
                <w:szCs w:val="24"/>
                <w:lang w:val="ro-RO"/>
              </w:rPr>
              <w:t>roiect</w:t>
            </w:r>
            <w:r w:rsidRPr="00D46544">
              <w:rPr>
                <w:rFonts w:cstheme="minorHAnsi"/>
                <w:bCs/>
                <w:color w:val="002060"/>
                <w:sz w:val="24"/>
                <w:szCs w:val="24"/>
                <w:lang w:val="ro-RO"/>
              </w:rPr>
              <w:t>.</w:t>
            </w:r>
          </w:p>
        </w:tc>
      </w:tr>
      <w:tr w:rsidR="00D46544" w:rsidRPr="00D46544" w14:paraId="4EA77289" w14:textId="77777777" w:rsidTr="007859A8">
        <w:trPr>
          <w:trHeight w:val="5488"/>
        </w:trPr>
        <w:tc>
          <w:tcPr>
            <w:tcW w:w="575" w:type="pct"/>
          </w:tcPr>
          <w:p w14:paraId="277336DE" w14:textId="258B5606"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RCO08</w:t>
            </w:r>
          </w:p>
        </w:tc>
        <w:tc>
          <w:tcPr>
            <w:tcW w:w="760" w:type="pct"/>
          </w:tcPr>
          <w:p w14:paraId="0A0CA7BC" w14:textId="73FDEFC3" w:rsidR="0003098C" w:rsidRPr="00D46544" w:rsidRDefault="0003098C" w:rsidP="00D46544">
            <w:pPr>
              <w:spacing w:before="60"/>
              <w:ind w:right="120"/>
              <w:jc w:val="both"/>
              <w:rPr>
                <w:rFonts w:cstheme="minorHAnsi"/>
                <w:color w:val="002060"/>
                <w:sz w:val="24"/>
                <w:szCs w:val="24"/>
                <w:lang w:val="ro-RO"/>
              </w:rPr>
            </w:pPr>
            <w:r w:rsidRPr="00D46544">
              <w:rPr>
                <w:rFonts w:cstheme="minorHAnsi"/>
                <w:iCs/>
                <w:color w:val="002060"/>
                <w:sz w:val="24"/>
                <w:szCs w:val="24"/>
                <w:lang w:val="ro-RO"/>
              </w:rPr>
              <w:t>Valoarea nominal</w:t>
            </w:r>
            <w:r w:rsidR="009B48D6" w:rsidRPr="00D46544">
              <w:rPr>
                <w:rFonts w:cstheme="minorHAnsi"/>
                <w:iCs/>
                <w:color w:val="002060"/>
                <w:sz w:val="24"/>
                <w:szCs w:val="24"/>
                <w:lang w:val="ro-RO"/>
              </w:rPr>
              <w:t>ă</w:t>
            </w:r>
            <w:r w:rsidRPr="00D46544">
              <w:rPr>
                <w:rFonts w:cstheme="minorHAnsi"/>
                <w:iCs/>
                <w:color w:val="002060"/>
                <w:sz w:val="24"/>
                <w:szCs w:val="24"/>
                <w:lang w:val="ro-RO"/>
              </w:rPr>
              <w:t xml:space="preserve"> a echipamentelor pentru cercetare-inovare</w:t>
            </w:r>
          </w:p>
        </w:tc>
        <w:tc>
          <w:tcPr>
            <w:tcW w:w="504" w:type="pct"/>
          </w:tcPr>
          <w:p w14:paraId="1ED236C0"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41F936D8"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610F404E" w14:textId="568185D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Euro</w:t>
            </w:r>
          </w:p>
        </w:tc>
        <w:tc>
          <w:tcPr>
            <w:tcW w:w="2612" w:type="pct"/>
          </w:tcPr>
          <w:p w14:paraId="2342D363"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796F86F4" w14:textId="77777777"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Valoarea totală (de achiziție) a echipamentelor de cercetare și inovare achiziționate. </w:t>
            </w:r>
          </w:p>
          <w:p w14:paraId="46992824" w14:textId="5D840832"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Echipamentele de cercetare și dezvoltare includ toate aparatele, instrumentele și dispozitivele utilizate direct pentru a desfășura activități de cercetare și dezvoltare</w:t>
            </w:r>
            <w:r w:rsidR="001C31F8" w:rsidRPr="00D46544">
              <w:rPr>
                <w:rFonts w:cstheme="minorHAnsi"/>
                <w:bCs/>
                <w:color w:val="002060"/>
                <w:sz w:val="24"/>
                <w:szCs w:val="24"/>
                <w:lang w:val="ro-RO"/>
              </w:rPr>
              <w:t xml:space="preserve"> și transfer tehnologic (inclusiv investiții inițiale pentru introducerea în producție)</w:t>
            </w:r>
            <w:r w:rsidRPr="00D46544">
              <w:rPr>
                <w:rFonts w:cstheme="minorHAnsi"/>
                <w:bCs/>
                <w:color w:val="002060"/>
                <w:sz w:val="24"/>
                <w:szCs w:val="24"/>
                <w:lang w:val="ro-RO"/>
              </w:rPr>
              <w:t>.</w:t>
            </w:r>
          </w:p>
          <w:p w14:paraId="5FA8990B" w14:textId="77777777"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Nu include, de exemplu, substanțe chimice sau alte materiale consumabile folosite pentru realizarea experimentelor sau a altor activități de cercetare.</w:t>
            </w:r>
          </w:p>
          <w:p w14:paraId="34EB6A54"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22A8F471" w14:textId="2D3B53B6"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Suma </w:t>
            </w:r>
            <w:r w:rsidR="009B48D6" w:rsidRPr="00D46544">
              <w:rPr>
                <w:rFonts w:cstheme="minorHAnsi"/>
                <w:bCs/>
                <w:color w:val="002060"/>
                <w:sz w:val="24"/>
                <w:szCs w:val="24"/>
                <w:lang w:val="ro-RO"/>
              </w:rPr>
              <w:t>valorii</w:t>
            </w:r>
            <w:r w:rsidRPr="00D46544">
              <w:rPr>
                <w:rFonts w:cstheme="minorHAnsi"/>
                <w:bCs/>
                <w:color w:val="002060"/>
                <w:sz w:val="24"/>
                <w:szCs w:val="24"/>
                <w:lang w:val="ro-RO"/>
              </w:rPr>
              <w:t xml:space="preserve"> nominale a </w:t>
            </w:r>
            <w:r w:rsidR="0091784E" w:rsidRPr="00D46544">
              <w:rPr>
                <w:rFonts w:cstheme="minorHAnsi"/>
                <w:bCs/>
                <w:color w:val="002060"/>
                <w:sz w:val="24"/>
                <w:szCs w:val="24"/>
                <w:lang w:val="ro-RO"/>
              </w:rPr>
              <w:t xml:space="preserve">tuturor echipamentelor de cercetare, </w:t>
            </w:r>
            <w:r w:rsidRPr="00D46544">
              <w:rPr>
                <w:rFonts w:cstheme="minorHAnsi"/>
                <w:bCs/>
                <w:color w:val="002060"/>
                <w:sz w:val="24"/>
                <w:szCs w:val="24"/>
                <w:lang w:val="ro-RO"/>
              </w:rPr>
              <w:t xml:space="preserve">inovare </w:t>
            </w:r>
            <w:r w:rsidR="0091784E" w:rsidRPr="00D46544">
              <w:rPr>
                <w:rFonts w:cstheme="minorHAnsi"/>
                <w:bCs/>
                <w:color w:val="002060"/>
                <w:sz w:val="24"/>
                <w:szCs w:val="24"/>
                <w:lang w:val="ro-RO"/>
              </w:rPr>
              <w:t>ș</w:t>
            </w:r>
            <w:r w:rsidR="00AC3DE1" w:rsidRPr="00D46544">
              <w:rPr>
                <w:rFonts w:cstheme="minorHAnsi"/>
                <w:bCs/>
                <w:color w:val="002060"/>
                <w:sz w:val="24"/>
                <w:szCs w:val="24"/>
                <w:lang w:val="ro-RO"/>
              </w:rPr>
              <w:t>i transfer tehnologic</w:t>
            </w:r>
            <w:r w:rsidR="002A1A79" w:rsidRPr="00D46544">
              <w:rPr>
                <w:rFonts w:cstheme="minorHAnsi"/>
                <w:bCs/>
                <w:color w:val="002060"/>
                <w:sz w:val="24"/>
                <w:szCs w:val="24"/>
                <w:lang w:val="ro-RO"/>
              </w:rPr>
              <w:t xml:space="preserve"> (inclusiv investiții inițiale pentru introducerea în producție) </w:t>
            </w:r>
            <w:r w:rsidRPr="00D46544">
              <w:rPr>
                <w:rFonts w:cstheme="minorHAnsi"/>
                <w:bCs/>
                <w:color w:val="002060"/>
                <w:sz w:val="24"/>
                <w:szCs w:val="24"/>
                <w:lang w:val="ro-RO"/>
              </w:rPr>
              <w:t>achiziționate în cadrul proiectului/apelului.</w:t>
            </w:r>
          </w:p>
          <w:p w14:paraId="27BAA4E8" w14:textId="77777777" w:rsidR="0003098C" w:rsidRPr="00D46544" w:rsidRDefault="0003098C" w:rsidP="00D46544">
            <w:pPr>
              <w:spacing w:before="60"/>
              <w:ind w:right="120"/>
              <w:jc w:val="both"/>
              <w:rPr>
                <w:rFonts w:cstheme="minorHAnsi"/>
                <w:bCs/>
                <w:color w:val="002060"/>
                <w:sz w:val="24"/>
                <w:szCs w:val="24"/>
                <w:lang w:val="ro-RO"/>
              </w:rPr>
            </w:pPr>
          </w:p>
          <w:p w14:paraId="296AF82A"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5A45B2A6" w14:textId="58073605" w:rsidR="009B48D6"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la momentul recepției și punerii în funcțiune a </w:t>
            </w:r>
            <w:r w:rsidR="009B48D6" w:rsidRPr="00D46544">
              <w:rPr>
                <w:rFonts w:cstheme="minorHAnsi"/>
                <w:bCs/>
                <w:color w:val="002060"/>
                <w:sz w:val="24"/>
                <w:szCs w:val="24"/>
                <w:lang w:val="ro-RO"/>
              </w:rPr>
              <w:t>echipamentului</w:t>
            </w:r>
            <w:r w:rsidRPr="00D46544">
              <w:rPr>
                <w:rFonts w:cstheme="minorHAnsi"/>
                <w:bCs/>
                <w:color w:val="002060"/>
                <w:sz w:val="24"/>
                <w:szCs w:val="24"/>
                <w:lang w:val="ro-RO"/>
              </w:rPr>
              <w:t xml:space="preserve"> (PVR, PVPF)</w:t>
            </w:r>
            <w:r w:rsidR="00AC3DE1" w:rsidRPr="00D46544">
              <w:rPr>
                <w:rFonts w:cstheme="minorHAnsi"/>
                <w:bCs/>
                <w:color w:val="002060"/>
                <w:sz w:val="24"/>
                <w:szCs w:val="24"/>
                <w:lang w:val="ro-RO"/>
              </w:rPr>
              <w:t>.</w:t>
            </w:r>
          </w:p>
          <w:p w14:paraId="6CDCA00E" w14:textId="2831F316" w:rsidR="00A1034A"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 xml:space="preserve">Raportare </w:t>
            </w:r>
            <w:r w:rsidR="006D4A84" w:rsidRPr="00D46544">
              <w:rPr>
                <w:rFonts w:cstheme="minorHAnsi"/>
                <w:b/>
                <w:color w:val="002060"/>
                <w:sz w:val="24"/>
                <w:szCs w:val="24"/>
                <w:lang w:val="ro-RO"/>
              </w:rPr>
              <w:t xml:space="preserve">în </w:t>
            </w:r>
            <w:r w:rsidRPr="00D46544">
              <w:rPr>
                <w:rFonts w:cstheme="minorHAnsi"/>
                <w:b/>
                <w:color w:val="002060"/>
                <w:sz w:val="24"/>
                <w:szCs w:val="24"/>
                <w:lang w:val="ro-RO"/>
              </w:rPr>
              <w:t>funcție de regiunea de dezvoltare</w:t>
            </w:r>
          </w:p>
          <w:p w14:paraId="2122C9E1" w14:textId="42F32324" w:rsidR="00A1034A" w:rsidRPr="00D46544" w:rsidRDefault="00A1034A"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RCO08 pe tip de regiune de dezvoltare, se </w:t>
            </w:r>
            <w:r w:rsidR="009B48D6" w:rsidRPr="00D46544">
              <w:rPr>
                <w:rFonts w:cstheme="minorHAnsi"/>
                <w:bCs/>
                <w:color w:val="002060"/>
                <w:sz w:val="24"/>
                <w:szCs w:val="24"/>
                <w:lang w:val="ro-RO"/>
              </w:rPr>
              <w:t>va realiza</w:t>
            </w:r>
            <w:r w:rsidR="00BF77A6" w:rsidRPr="00D46544">
              <w:rPr>
                <w:rFonts w:cstheme="minorHAnsi"/>
                <w:bCs/>
                <w:color w:val="002060"/>
                <w:sz w:val="24"/>
                <w:szCs w:val="24"/>
                <w:lang w:val="ro-RO"/>
              </w:rPr>
              <w:t xml:space="preserve"> în</w:t>
            </w:r>
            <w:r w:rsidR="009B48D6" w:rsidRPr="00D46544">
              <w:rPr>
                <w:rFonts w:cstheme="minorHAnsi"/>
                <w:bCs/>
                <w:color w:val="002060"/>
                <w:sz w:val="24"/>
                <w:szCs w:val="24"/>
                <w:lang w:val="ro-RO"/>
              </w:rPr>
              <w:t xml:space="preserve"> funcție de lo</w:t>
            </w:r>
            <w:r w:rsidR="00BF77A6" w:rsidRPr="00D46544">
              <w:rPr>
                <w:rFonts w:cstheme="minorHAnsi"/>
                <w:bCs/>
                <w:color w:val="002060"/>
                <w:sz w:val="24"/>
                <w:szCs w:val="24"/>
                <w:lang w:val="ro-RO"/>
              </w:rPr>
              <w:t>cația de implementare a proiectului.</w:t>
            </w:r>
          </w:p>
        </w:tc>
      </w:tr>
    </w:tbl>
    <w:p w14:paraId="19EB16BB" w14:textId="53469B1D" w:rsidR="009B48D6" w:rsidRPr="00D46544" w:rsidRDefault="009B48D6" w:rsidP="00D46544">
      <w:pPr>
        <w:spacing w:before="60" w:after="0" w:line="240" w:lineRule="auto"/>
        <w:ind w:right="120"/>
        <w:jc w:val="both"/>
        <w:rPr>
          <w:rFonts w:cstheme="minorHAnsi"/>
          <w:b/>
          <w:color w:val="002060"/>
          <w:sz w:val="24"/>
          <w:szCs w:val="24"/>
        </w:rPr>
      </w:pPr>
      <w:bookmarkStart w:id="0" w:name="_Toc126864174"/>
      <w:r w:rsidRPr="00D46544">
        <w:rPr>
          <w:rFonts w:cstheme="minorHAnsi"/>
          <w:b/>
          <w:color w:val="002060"/>
          <w:sz w:val="24"/>
          <w:szCs w:val="24"/>
        </w:rPr>
        <w:br w:type="page"/>
      </w:r>
    </w:p>
    <w:p w14:paraId="14A9887A" w14:textId="1227999D" w:rsidR="00A40BE2" w:rsidRPr="00D46544" w:rsidRDefault="00A40BE2"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lastRenderedPageBreak/>
        <w:t>Definiți</w:t>
      </w:r>
      <w:r w:rsidR="00545FF1" w:rsidRPr="00D46544">
        <w:rPr>
          <w:rFonts w:cstheme="minorHAnsi"/>
          <w:b/>
          <w:color w:val="002060"/>
          <w:sz w:val="24"/>
          <w:szCs w:val="24"/>
          <w:lang w:val="ro-RO"/>
        </w:rPr>
        <w:t>a</w:t>
      </w:r>
      <w:r w:rsidRPr="00D46544">
        <w:rPr>
          <w:rFonts w:cstheme="minorHAnsi"/>
          <w:b/>
          <w:color w:val="002060"/>
          <w:sz w:val="24"/>
          <w:szCs w:val="24"/>
          <w:lang w:val="ro-RO"/>
        </w:rPr>
        <w:t xml:space="preserve"> indicator</w:t>
      </w:r>
      <w:r w:rsidR="00545FF1" w:rsidRPr="00D46544">
        <w:rPr>
          <w:rFonts w:cstheme="minorHAnsi"/>
          <w:b/>
          <w:color w:val="002060"/>
          <w:sz w:val="24"/>
          <w:szCs w:val="24"/>
          <w:lang w:val="ro-RO"/>
        </w:rPr>
        <w:t xml:space="preserve">ului </w:t>
      </w:r>
      <w:r w:rsidRPr="00D46544">
        <w:rPr>
          <w:rFonts w:cstheme="minorHAnsi"/>
          <w:b/>
          <w:color w:val="002060"/>
          <w:sz w:val="24"/>
          <w:szCs w:val="24"/>
          <w:lang w:val="ro-RO"/>
        </w:rPr>
        <w:t>de rezultat</w:t>
      </w:r>
      <w:bookmarkEnd w:id="0"/>
    </w:p>
    <w:tbl>
      <w:tblPr>
        <w:tblStyle w:val="TableGrid"/>
        <w:tblW w:w="5154" w:type="pct"/>
        <w:tblInd w:w="-431" w:type="dxa"/>
        <w:tblLook w:val="04A0" w:firstRow="1" w:lastRow="0" w:firstColumn="1" w:lastColumn="0" w:noHBand="0" w:noVBand="1"/>
      </w:tblPr>
      <w:tblGrid>
        <w:gridCol w:w="1658"/>
        <w:gridCol w:w="2219"/>
        <w:gridCol w:w="1455"/>
        <w:gridCol w:w="1529"/>
        <w:gridCol w:w="7564"/>
      </w:tblGrid>
      <w:tr w:rsidR="00D46544" w:rsidRPr="00D46544" w14:paraId="18822EB2" w14:textId="77777777" w:rsidTr="009B48D6">
        <w:trPr>
          <w:tblHeader/>
        </w:trPr>
        <w:tc>
          <w:tcPr>
            <w:tcW w:w="575" w:type="pct"/>
            <w:shd w:val="clear" w:color="auto" w:fill="C5E0B3" w:themeFill="accent6" w:themeFillTint="66"/>
          </w:tcPr>
          <w:p w14:paraId="46E55FD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9" w:type="pct"/>
            <w:shd w:val="clear" w:color="auto" w:fill="C5E0B3" w:themeFill="accent6" w:themeFillTint="66"/>
          </w:tcPr>
          <w:p w14:paraId="689A01A2"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72DFD6D3" w14:textId="2C441B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30" w:type="pct"/>
            <w:shd w:val="clear" w:color="auto" w:fill="C5E0B3" w:themeFill="accent6" w:themeFillTint="66"/>
          </w:tcPr>
          <w:p w14:paraId="10F6F3D7" w14:textId="4154F2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măsura</w:t>
            </w:r>
          </w:p>
        </w:tc>
        <w:tc>
          <w:tcPr>
            <w:tcW w:w="2622" w:type="pct"/>
            <w:shd w:val="clear" w:color="auto" w:fill="C5E0B3" w:themeFill="accent6" w:themeFillTint="66"/>
          </w:tcPr>
          <w:p w14:paraId="6CF545C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4537DDA7" w14:textId="77777777" w:rsidTr="009B48D6">
        <w:tc>
          <w:tcPr>
            <w:tcW w:w="575" w:type="pct"/>
          </w:tcPr>
          <w:p w14:paraId="55462905" w14:textId="57E0A0F5"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RCR01</w:t>
            </w:r>
          </w:p>
        </w:tc>
        <w:tc>
          <w:tcPr>
            <w:tcW w:w="769" w:type="pct"/>
          </w:tcPr>
          <w:p w14:paraId="7FA09428" w14:textId="37A14B56"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Locuri de muncă create în entitățile care beneficiază de sprijin</w:t>
            </w:r>
          </w:p>
        </w:tc>
        <w:tc>
          <w:tcPr>
            <w:tcW w:w="504" w:type="pct"/>
          </w:tcPr>
          <w:p w14:paraId="553E3C6C" w14:textId="77777777" w:rsidR="009B48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w:t>
            </w:r>
          </w:p>
          <w:p w14:paraId="4BD7B36F" w14:textId="2AC1509C"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puțin dezvoltate</w:t>
            </w:r>
          </w:p>
          <w:p w14:paraId="2D0B8317" w14:textId="77777777" w:rsidR="001B75D6" w:rsidRPr="00D46544" w:rsidRDefault="001B75D6" w:rsidP="00D46544">
            <w:pPr>
              <w:spacing w:before="60"/>
              <w:ind w:right="120"/>
              <w:jc w:val="both"/>
              <w:rPr>
                <w:rFonts w:cstheme="minorHAnsi"/>
                <w:color w:val="002060"/>
                <w:sz w:val="24"/>
                <w:szCs w:val="24"/>
                <w:lang w:val="ro-RO"/>
              </w:rPr>
            </w:pPr>
          </w:p>
          <w:p w14:paraId="32CB5AF7"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70A2BD79" w14:textId="1041439B"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w:t>
            </w:r>
          </w:p>
        </w:tc>
        <w:tc>
          <w:tcPr>
            <w:tcW w:w="2622" w:type="pct"/>
          </w:tcPr>
          <w:p w14:paraId="7BDFAB2F"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0952ECF" w14:textId="601392BA"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Numărul de </w:t>
            </w:r>
            <w:r w:rsidRPr="00D46544">
              <w:rPr>
                <w:rFonts w:cstheme="minorHAnsi"/>
                <w:b/>
                <w:bCs/>
                <w:color w:val="002060"/>
                <w:sz w:val="24"/>
                <w:szCs w:val="24"/>
                <w:u w:val="single"/>
                <w:lang w:val="ro-RO"/>
              </w:rPr>
              <w:t>noi</w:t>
            </w:r>
            <w:r w:rsidRPr="00D46544">
              <w:rPr>
                <w:rFonts w:cstheme="minorHAnsi"/>
                <w:color w:val="002060"/>
                <w:sz w:val="24"/>
                <w:szCs w:val="24"/>
                <w:lang w:val="ro-RO"/>
              </w:rPr>
              <w:t xml:space="preserve"> locuri de muncă, exprimat în numărul mediu de angajați cu </w:t>
            </w:r>
            <w:r w:rsidR="009B48D6" w:rsidRPr="00D46544">
              <w:rPr>
                <w:rFonts w:cstheme="minorHAnsi"/>
                <w:color w:val="002060"/>
                <w:sz w:val="24"/>
                <w:szCs w:val="24"/>
                <w:lang w:val="ro-RO"/>
              </w:rPr>
              <w:t>echivalentul</w:t>
            </w:r>
            <w:r w:rsidRPr="00D46544">
              <w:rPr>
                <w:rFonts w:cstheme="minorHAnsi"/>
                <w:color w:val="002060"/>
                <w:sz w:val="24"/>
                <w:szCs w:val="24"/>
                <w:lang w:val="ro-RO"/>
              </w:rPr>
              <w:t xml:space="preserve"> unei norme întregi (ENI) pe an, create în cadrul activității susținute de proiect.</w:t>
            </w:r>
          </w:p>
          <w:p w14:paraId="0F82CC7F" w14:textId="1E6060FE"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Noile posturi trebuie ocupate și pot fi</w:t>
            </w:r>
            <w:r w:rsidR="009B48D6" w:rsidRPr="00D46544">
              <w:rPr>
                <w:rFonts w:cstheme="minorHAnsi"/>
                <w:color w:val="002060"/>
                <w:sz w:val="24"/>
                <w:szCs w:val="24"/>
                <w:lang w:val="ro-RO"/>
              </w:rPr>
              <w:t xml:space="preserve">: </w:t>
            </w:r>
            <w:r w:rsidRPr="00D46544">
              <w:rPr>
                <w:rFonts w:cstheme="minorHAnsi"/>
                <w:color w:val="002060"/>
                <w:sz w:val="24"/>
                <w:szCs w:val="24"/>
                <w:lang w:val="ro-RO"/>
              </w:rPr>
              <w:t>cu normă întreagă, cu normă parțială sau recurente sezonier.</w:t>
            </w:r>
          </w:p>
          <w:p w14:paraId="2712B39A" w14:textId="09380898"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Posturile nou create trebuie</w:t>
            </w:r>
            <w:r w:rsidR="00B73D20" w:rsidRPr="00D46544">
              <w:rPr>
                <w:rFonts w:cstheme="minorHAnsi"/>
                <w:b/>
                <w:bCs/>
                <w:color w:val="002060"/>
                <w:sz w:val="24"/>
                <w:szCs w:val="24"/>
                <w:lang w:val="ro-RO"/>
              </w:rPr>
              <w:t xml:space="preserve"> să</w:t>
            </w:r>
            <w:r w:rsidRPr="00D46544">
              <w:rPr>
                <w:rFonts w:cstheme="minorHAnsi"/>
                <w:b/>
                <w:bCs/>
                <w:color w:val="002060"/>
                <w:sz w:val="24"/>
                <w:szCs w:val="24"/>
                <w:lang w:val="ro-RO"/>
              </w:rPr>
              <w:t xml:space="preserve"> fie păstrate pentru mai mult de un an de la finalizarea proiectului.</w:t>
            </w:r>
          </w:p>
          <w:p w14:paraId="4CD95BE4" w14:textId="77777777" w:rsidR="001B75D6" w:rsidRPr="00D46544" w:rsidRDefault="001B75D6" w:rsidP="00D46544">
            <w:pPr>
              <w:spacing w:before="60"/>
              <w:ind w:right="120"/>
              <w:jc w:val="both"/>
              <w:rPr>
                <w:rFonts w:cstheme="minorHAnsi"/>
                <w:color w:val="002060"/>
                <w:sz w:val="24"/>
                <w:szCs w:val="24"/>
                <w:lang w:val="ro-RO"/>
              </w:rPr>
            </w:pPr>
          </w:p>
          <w:p w14:paraId="7364E30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35DA023E" w14:textId="5DA71C61"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se calculează ca diferență dintre numărul mediu de angajați cu echivalentul unei norme întregi (ENI) anuale completate înainte de începerea proiectului și la un an după finalizarea proiectului în activitatea sprijinită de proiect.</w:t>
            </w:r>
          </w:p>
          <w:p w14:paraId="0794C231" w14:textId="77777777"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6F313D62" w14:textId="77777777" w:rsidR="001B75D6" w:rsidRPr="00D46544" w:rsidRDefault="001B75D6" w:rsidP="00D46544">
            <w:pPr>
              <w:spacing w:before="60"/>
              <w:ind w:right="120"/>
              <w:jc w:val="both"/>
              <w:rPr>
                <w:rFonts w:cstheme="minorHAnsi"/>
                <w:b/>
                <w:color w:val="002060"/>
                <w:sz w:val="24"/>
                <w:szCs w:val="24"/>
                <w:lang w:val="ro-RO"/>
              </w:rPr>
            </w:pPr>
          </w:p>
          <w:p w14:paraId="2F9F315B" w14:textId="1F276344"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Pentru calculul ENI anual se folosește </w:t>
            </w:r>
            <w:r w:rsidR="009B48D6" w:rsidRPr="00D46544">
              <w:rPr>
                <w:rFonts w:cstheme="minorHAnsi"/>
                <w:color w:val="002060"/>
                <w:sz w:val="24"/>
                <w:szCs w:val="24"/>
                <w:lang w:val="ro-RO"/>
              </w:rPr>
              <w:t>numărul</w:t>
            </w:r>
            <w:r w:rsidRPr="00D46544">
              <w:rPr>
                <w:rFonts w:cstheme="minorHAnsi"/>
                <w:color w:val="002060"/>
                <w:sz w:val="24"/>
                <w:szCs w:val="24"/>
                <w:lang w:val="ro-RO"/>
              </w:rPr>
              <w:t xml:space="preserve"> de ore de lucru normative/ statutare pe an în România de 40 ore/ </w:t>
            </w:r>
            <w:r w:rsidR="009B48D6" w:rsidRPr="00D46544">
              <w:rPr>
                <w:rFonts w:cstheme="minorHAnsi"/>
                <w:color w:val="002060"/>
                <w:sz w:val="24"/>
                <w:szCs w:val="24"/>
                <w:lang w:val="ro-RO"/>
              </w:rPr>
              <w:t>săptămână</w:t>
            </w:r>
            <w:r w:rsidRPr="00D46544">
              <w:rPr>
                <w:rFonts w:cstheme="minorHAnsi"/>
                <w:color w:val="002060"/>
                <w:sz w:val="24"/>
                <w:szCs w:val="24"/>
                <w:lang w:val="ro-RO"/>
              </w:rPr>
              <w:t xml:space="preserve"> timp de 52 </w:t>
            </w:r>
            <w:r w:rsidR="009B48D6" w:rsidRPr="00D46544">
              <w:rPr>
                <w:rFonts w:cstheme="minorHAnsi"/>
                <w:color w:val="002060"/>
                <w:sz w:val="24"/>
                <w:szCs w:val="24"/>
                <w:lang w:val="ro-RO"/>
              </w:rPr>
              <w:t>săptămâni</w:t>
            </w:r>
            <w:r w:rsidRPr="00D46544">
              <w:rPr>
                <w:rFonts w:cstheme="minorHAnsi"/>
                <w:color w:val="002060"/>
                <w:sz w:val="24"/>
                <w:szCs w:val="24"/>
                <w:lang w:val="ro-RO"/>
              </w:rPr>
              <w:t xml:space="preserve">. </w:t>
            </w:r>
            <w:r w:rsidRPr="00D46544">
              <w:rPr>
                <w:rFonts w:cstheme="minorHAnsi"/>
                <w:color w:val="002060"/>
                <w:sz w:val="24"/>
                <w:szCs w:val="24"/>
                <w:lang w:val="ro-RO"/>
              </w:rPr>
              <w:lastRenderedPageBreak/>
              <w:t xml:space="preserve">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w:t>
            </w:r>
            <w:r w:rsidR="009B48D6" w:rsidRPr="00D46544">
              <w:rPr>
                <w:rFonts w:cstheme="minorHAnsi"/>
                <w:color w:val="002060"/>
                <w:sz w:val="24"/>
                <w:szCs w:val="24"/>
                <w:lang w:val="ro-RO"/>
              </w:rPr>
              <w:t>efectuează</w:t>
            </w:r>
            <w:r w:rsidR="00A0320D" w:rsidRPr="00D46544">
              <w:rPr>
                <w:rFonts w:cstheme="minorHAnsi"/>
                <w:color w:val="002060"/>
                <w:sz w:val="24"/>
                <w:szCs w:val="24"/>
                <w:lang w:val="ro-RO"/>
              </w:rPr>
              <w:t xml:space="preserve"> </w:t>
            </w:r>
            <w:r w:rsidR="009B48D6" w:rsidRPr="00D46544">
              <w:rPr>
                <w:rFonts w:cstheme="minorHAnsi"/>
                <w:color w:val="002060"/>
                <w:sz w:val="24"/>
                <w:szCs w:val="24"/>
                <w:lang w:val="ro-RO"/>
              </w:rPr>
              <w:t>atât</w:t>
            </w:r>
            <w:r w:rsidRPr="00D46544">
              <w:rPr>
                <w:rFonts w:cstheme="minorHAnsi"/>
                <w:color w:val="002060"/>
                <w:sz w:val="24"/>
                <w:szCs w:val="24"/>
                <w:lang w:val="ro-RO"/>
              </w:rPr>
              <w:t xml:space="preserve"> pentru angajații cu normă întreagă, cât și pentru salariatul cu normă parțială.</w:t>
            </w:r>
          </w:p>
          <w:p w14:paraId="5BBEC994" w14:textId="5CD41835"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 xml:space="preserve">Formula: ENI anual= Σ număr ore lucrate în proiect în timpul unui an (incluzând și 8h pentru fiecare zi de concediu legal daca este cazul)/ (52 </w:t>
            </w:r>
            <w:r w:rsidR="009B48D6" w:rsidRPr="00D46544">
              <w:rPr>
                <w:rFonts w:cstheme="minorHAnsi"/>
                <w:b/>
                <w:bCs/>
                <w:color w:val="002060"/>
                <w:sz w:val="24"/>
                <w:szCs w:val="24"/>
                <w:lang w:val="ro-RO"/>
              </w:rPr>
              <w:t>săptămâni</w:t>
            </w:r>
            <w:r w:rsidRPr="00D46544">
              <w:rPr>
                <w:rFonts w:cstheme="minorHAnsi"/>
                <w:b/>
                <w:bCs/>
                <w:color w:val="002060"/>
                <w:sz w:val="24"/>
                <w:szCs w:val="24"/>
                <w:lang w:val="ro-RO"/>
              </w:rPr>
              <w:t>* 40 ore/săptămână).</w:t>
            </w:r>
          </w:p>
          <w:p w14:paraId="07DE3C88" w14:textId="77777777" w:rsidR="001B75D6" w:rsidRPr="00D46544" w:rsidRDefault="001B75D6" w:rsidP="00D46544">
            <w:pPr>
              <w:spacing w:before="60"/>
              <w:ind w:right="120"/>
              <w:jc w:val="both"/>
              <w:rPr>
                <w:rFonts w:cstheme="minorHAnsi"/>
                <w:color w:val="002060"/>
                <w:sz w:val="24"/>
                <w:szCs w:val="24"/>
                <w:lang w:val="ro-RO"/>
              </w:rPr>
            </w:pPr>
          </w:p>
          <w:p w14:paraId="009474B8" w14:textId="142699B6"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29C868A" w14:textId="352BE201"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raportează numărul de noi locuri de muncă (exprimate în ENI anual) create în cadrul </w:t>
            </w:r>
            <w:r w:rsidR="009B48D6" w:rsidRPr="00D46544">
              <w:rPr>
                <w:rFonts w:cstheme="minorHAnsi"/>
                <w:bCs/>
                <w:color w:val="002060"/>
                <w:sz w:val="24"/>
                <w:szCs w:val="24"/>
                <w:lang w:val="ro-RO"/>
              </w:rPr>
              <w:t>activității</w:t>
            </w:r>
            <w:r w:rsidRPr="00D46544">
              <w:rPr>
                <w:rFonts w:cstheme="minorHAnsi"/>
                <w:bCs/>
                <w:color w:val="002060"/>
                <w:sz w:val="24"/>
                <w:szCs w:val="24"/>
                <w:lang w:val="ro-RO"/>
              </w:rPr>
              <w:t xml:space="preserve"> din proiect și susținute cel puțin un an de zile după realizarea output-ului (vezi Momentul măsurării indicatorului).</w:t>
            </w:r>
          </w:p>
          <w:p w14:paraId="5A4E6FF0" w14:textId="36816F70"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Se raportează o singură dată, la 1 an de la plata finală aferentă contractului de finanțare (în baza documentelor justificative).</w:t>
            </w:r>
          </w:p>
          <w:p w14:paraId="6639EA9B" w14:textId="4517F1E2"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Se raportează anual de către beneficiar, la transmiterea raportului de sustenabilitate către autoritatea contractantă (documente justificative: contract de muncă, fișă de pontaj, ștat de plată</w:t>
            </w:r>
            <w:r w:rsidR="009B48D6" w:rsidRPr="00D46544">
              <w:rPr>
                <w:rFonts w:cstheme="minorHAnsi"/>
                <w:color w:val="002060"/>
                <w:sz w:val="24"/>
                <w:szCs w:val="24"/>
                <w:lang w:val="ro-RO"/>
              </w:rPr>
              <w:t xml:space="preserve"> etc</w:t>
            </w:r>
            <w:r w:rsidR="00D478B9" w:rsidRPr="00D46544">
              <w:rPr>
                <w:rFonts w:cstheme="minorHAnsi"/>
                <w:color w:val="002060"/>
                <w:sz w:val="24"/>
                <w:szCs w:val="24"/>
                <w:lang w:val="ro-RO"/>
              </w:rPr>
              <w:t>.</w:t>
            </w:r>
            <w:r w:rsidRPr="00D46544">
              <w:rPr>
                <w:rFonts w:cstheme="minorHAnsi"/>
                <w:color w:val="002060"/>
                <w:sz w:val="24"/>
                <w:szCs w:val="24"/>
                <w:lang w:val="ro-RO"/>
              </w:rPr>
              <w:t>).</w:t>
            </w:r>
          </w:p>
          <w:p w14:paraId="2B38A1CE" w14:textId="77777777" w:rsidR="009B48D6" w:rsidRPr="00D46544" w:rsidRDefault="009B48D6" w:rsidP="00D46544">
            <w:pPr>
              <w:spacing w:before="60"/>
              <w:ind w:right="120"/>
              <w:jc w:val="both"/>
              <w:rPr>
                <w:rFonts w:cstheme="minorHAnsi"/>
                <w:color w:val="002060"/>
                <w:sz w:val="24"/>
                <w:szCs w:val="24"/>
                <w:lang w:val="ro-RO"/>
              </w:rPr>
            </w:pPr>
          </w:p>
          <w:p w14:paraId="1F25C4BC" w14:textId="79699FE7" w:rsidR="001B75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 xml:space="preserve">Raportare </w:t>
            </w:r>
            <w:r w:rsidR="00D478B9" w:rsidRPr="00D46544">
              <w:rPr>
                <w:rFonts w:cstheme="minorHAnsi"/>
                <w:b/>
                <w:color w:val="002060"/>
                <w:sz w:val="24"/>
                <w:szCs w:val="24"/>
                <w:lang w:val="ro-RO"/>
              </w:rPr>
              <w:t xml:space="preserve">în </w:t>
            </w:r>
            <w:r w:rsidRPr="00D46544">
              <w:rPr>
                <w:rFonts w:cstheme="minorHAnsi"/>
                <w:b/>
                <w:color w:val="002060"/>
                <w:sz w:val="24"/>
                <w:szCs w:val="24"/>
                <w:lang w:val="ro-RO"/>
              </w:rPr>
              <w:t>funcție de regiunea de dezvoltare</w:t>
            </w:r>
          </w:p>
          <w:p w14:paraId="6BA04266" w14:textId="2509EEDD" w:rsidR="005210E5" w:rsidRPr="00D46544" w:rsidRDefault="005210E5" w:rsidP="00D46544">
            <w:pPr>
              <w:spacing w:before="60"/>
              <w:ind w:right="120"/>
              <w:jc w:val="both"/>
              <w:rPr>
                <w:rFonts w:cstheme="minorHAnsi"/>
                <w:color w:val="002060"/>
                <w:sz w:val="24"/>
                <w:szCs w:val="24"/>
                <w:lang w:val="ro-RO"/>
              </w:rPr>
            </w:pPr>
            <w:r w:rsidRPr="00D46544">
              <w:rPr>
                <w:rFonts w:cstheme="minorHAnsi"/>
                <w:bCs/>
                <w:color w:val="002060"/>
                <w:sz w:val="24"/>
                <w:szCs w:val="24"/>
                <w:lang w:val="ro-RO"/>
              </w:rPr>
              <w:t xml:space="preserve">Stabilirea și raportarea indicatorului RCR01 în funcție de regiunea de dezvoltare (regiune mai puțin dezvoltată/regiune mai dezvoltată) se </w:t>
            </w:r>
            <w:r w:rsidR="00D478B9" w:rsidRPr="00D46544">
              <w:rPr>
                <w:rFonts w:cstheme="minorHAnsi"/>
                <w:bCs/>
                <w:color w:val="002060"/>
                <w:sz w:val="24"/>
                <w:szCs w:val="24"/>
                <w:lang w:val="ro-RO"/>
              </w:rPr>
              <w:t>face ținând cont de locația de implementare a proiectului.</w:t>
            </w:r>
          </w:p>
          <w:p w14:paraId="33D88E25" w14:textId="77777777" w:rsidR="005210E5" w:rsidRPr="00D46544" w:rsidRDefault="005210E5" w:rsidP="00D46544">
            <w:pPr>
              <w:spacing w:before="60"/>
              <w:ind w:right="120"/>
              <w:jc w:val="both"/>
              <w:rPr>
                <w:rFonts w:cstheme="minorHAnsi"/>
                <w:color w:val="002060"/>
                <w:sz w:val="24"/>
                <w:szCs w:val="24"/>
                <w:lang w:val="ro-RO"/>
              </w:rPr>
            </w:pPr>
          </w:p>
          <w:p w14:paraId="4C6F1FAE" w14:textId="77777777"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lastRenderedPageBreak/>
              <w:t>Notă:</w:t>
            </w:r>
          </w:p>
          <w:p w14:paraId="48958D0F" w14:textId="77777777" w:rsidR="00F3560E" w:rsidRPr="00D46544" w:rsidRDefault="00F3560E"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p>
          <w:p w14:paraId="2F50AE34" w14:textId="20F0EF2F"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Acest indicator nu trebuie utilizat pentru a acoperi locurile de muncă de cercetare, care sunt raportate pentru indicatorul RCR102.</w:t>
            </w:r>
          </w:p>
        </w:tc>
      </w:tr>
      <w:tr w:rsidR="00D46544" w:rsidRPr="00D46544" w14:paraId="330C55BC" w14:textId="77777777" w:rsidTr="009B48D6">
        <w:trPr>
          <w:trHeight w:val="1239"/>
        </w:trPr>
        <w:tc>
          <w:tcPr>
            <w:tcW w:w="575" w:type="pct"/>
          </w:tcPr>
          <w:p w14:paraId="56192575" w14:textId="0FDA0E2A"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RCR102</w:t>
            </w:r>
          </w:p>
        </w:tc>
        <w:tc>
          <w:tcPr>
            <w:tcW w:w="769" w:type="pct"/>
          </w:tcPr>
          <w:p w14:paraId="1DBED0F3" w14:textId="56B84C08"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Locuri de muncă create în domeniul cercetării în entitățile care beneficiază de sprijin</w:t>
            </w:r>
          </w:p>
        </w:tc>
        <w:tc>
          <w:tcPr>
            <w:tcW w:w="504" w:type="pct"/>
          </w:tcPr>
          <w:p w14:paraId="6B95B5FE" w14:textId="77777777" w:rsidR="00C65221" w:rsidRPr="00D46544" w:rsidRDefault="00C65221"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9976355"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308B3878" w14:textId="3E6D7E69"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w:t>
            </w:r>
          </w:p>
        </w:tc>
        <w:tc>
          <w:tcPr>
            <w:tcW w:w="2622" w:type="pct"/>
          </w:tcPr>
          <w:p w14:paraId="4E295E99"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3A30082D" w14:textId="587440EA"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Numărul de locuri de muncă în cercetare create ca urmare a sprijinului. Indicatorul este exprimat în numărul mediu de angajați cu </w:t>
            </w:r>
            <w:r w:rsidR="009B48D6" w:rsidRPr="00D46544">
              <w:rPr>
                <w:rFonts w:cstheme="minorHAnsi"/>
                <w:bCs/>
                <w:color w:val="002060"/>
                <w:sz w:val="24"/>
                <w:szCs w:val="24"/>
                <w:lang w:val="ro-RO"/>
              </w:rPr>
              <w:t>echivalentul</w:t>
            </w:r>
            <w:r w:rsidRPr="00D46544">
              <w:rPr>
                <w:rFonts w:cstheme="minorHAnsi"/>
                <w:bCs/>
                <w:color w:val="002060"/>
                <w:sz w:val="24"/>
                <w:szCs w:val="24"/>
                <w:lang w:val="ro-RO"/>
              </w:rPr>
              <w:t xml:space="preserve"> unei norme întregi pe an (ENI anual), calculat conform metodologiei descrise în Manualul </w:t>
            </w:r>
            <w:proofErr w:type="spellStart"/>
            <w:r w:rsidRPr="00D46544">
              <w:rPr>
                <w:rFonts w:cstheme="minorHAnsi"/>
                <w:bCs/>
                <w:color w:val="002060"/>
                <w:sz w:val="24"/>
                <w:szCs w:val="24"/>
                <w:lang w:val="ro-RO"/>
              </w:rPr>
              <w:t>Frascati</w:t>
            </w:r>
            <w:proofErr w:type="spellEnd"/>
            <w:r w:rsidRPr="00D46544">
              <w:rPr>
                <w:rFonts w:cstheme="minorHAnsi"/>
                <w:bCs/>
                <w:color w:val="002060"/>
                <w:sz w:val="24"/>
                <w:szCs w:val="24"/>
                <w:lang w:val="ro-RO"/>
              </w:rPr>
              <w:t xml:space="preserve"> OCDE 2015. </w:t>
            </w:r>
          </w:p>
          <w:p w14:paraId="1C41C745" w14:textId="5FB67AA4"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ENI anual al personalului de cercetare și dezvoltare este definit ca raportul dintre orele de lucru efectiv petrecute în cercetare și dezvoltare pe parcursul unui an calendaristic împărțit la numărul total de ore lucrate în mod convențional în aceeași perioadă de către o persoană sau un grup. </w:t>
            </w:r>
          </w:p>
          <w:p w14:paraId="5D2F8AF8" w14:textId="77777777" w:rsidR="001B75D6" w:rsidRPr="00D46544" w:rsidRDefault="001B75D6" w:rsidP="00D46544">
            <w:pPr>
              <w:spacing w:before="60"/>
              <w:ind w:right="120"/>
              <w:jc w:val="both"/>
              <w:rPr>
                <w:rFonts w:cstheme="minorHAnsi"/>
                <w:bCs/>
                <w:color w:val="002060"/>
                <w:sz w:val="24"/>
                <w:szCs w:val="24"/>
                <w:lang w:val="ro-RO"/>
              </w:rPr>
            </w:pPr>
          </w:p>
          <w:p w14:paraId="629A6C85"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6D2B562B" w14:textId="2E1635B0"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Pentru calculul ENI anual se folosește </w:t>
            </w:r>
            <w:r w:rsidR="009B48D6" w:rsidRPr="00D46544">
              <w:rPr>
                <w:rFonts w:cstheme="minorHAnsi"/>
                <w:bCs/>
                <w:color w:val="002060"/>
                <w:sz w:val="24"/>
                <w:szCs w:val="24"/>
                <w:lang w:val="ro-RO"/>
              </w:rPr>
              <w:t>numărul</w:t>
            </w:r>
            <w:r w:rsidRPr="00D46544">
              <w:rPr>
                <w:rFonts w:cstheme="minorHAnsi"/>
                <w:bCs/>
                <w:color w:val="002060"/>
                <w:sz w:val="24"/>
                <w:szCs w:val="24"/>
                <w:lang w:val="ro-RO"/>
              </w:rPr>
              <w:t xml:space="preserve"> de ore de lucru normative/ statutare pe an în România de 40 ore/ </w:t>
            </w:r>
            <w:r w:rsidR="009B48D6" w:rsidRPr="00D46544">
              <w:rPr>
                <w:rFonts w:cstheme="minorHAnsi"/>
                <w:bCs/>
                <w:color w:val="002060"/>
                <w:sz w:val="24"/>
                <w:szCs w:val="24"/>
                <w:lang w:val="ro-RO"/>
              </w:rPr>
              <w:t>săptămână</w:t>
            </w:r>
            <w:r w:rsidRPr="00D46544">
              <w:rPr>
                <w:rFonts w:cstheme="minorHAnsi"/>
                <w:bCs/>
                <w:color w:val="002060"/>
                <w:sz w:val="24"/>
                <w:szCs w:val="24"/>
                <w:lang w:val="ro-RO"/>
              </w:rPr>
              <w:t xml:space="preserve"> timp de 52 </w:t>
            </w:r>
            <w:r w:rsidR="009B48D6" w:rsidRPr="00D46544">
              <w:rPr>
                <w:rFonts w:cstheme="minorHAnsi"/>
                <w:bCs/>
                <w:color w:val="002060"/>
                <w:sz w:val="24"/>
                <w:szCs w:val="24"/>
                <w:lang w:val="ro-RO"/>
              </w:rPr>
              <w:t>săptămâni</w:t>
            </w:r>
            <w:r w:rsidRPr="00D46544">
              <w:rPr>
                <w:rFonts w:cstheme="minorHAnsi"/>
                <w:bCs/>
                <w:color w:val="002060"/>
                <w:sz w:val="24"/>
                <w:szCs w:val="24"/>
                <w:lang w:val="ro-RO"/>
              </w:rPr>
              <w:t xml:space="preserve">. În calculul ENI se iau în calcul zilele lucrate și zilele de concediu legal (toate tipurile de concediu plătit la care dă dreptul legislația în vigoare), dar nu se iau în calcul zilele de concediu fără plată, zile în care se consideră raportul </w:t>
            </w:r>
            <w:r w:rsidRPr="00D46544">
              <w:rPr>
                <w:rFonts w:cstheme="minorHAnsi"/>
                <w:bCs/>
                <w:color w:val="002060"/>
                <w:sz w:val="24"/>
                <w:szCs w:val="24"/>
                <w:lang w:val="ro-RO"/>
              </w:rPr>
              <w:lastRenderedPageBreak/>
              <w:t xml:space="preserve">de muncă suspendat. Calculul se </w:t>
            </w:r>
            <w:r w:rsidR="009B48D6" w:rsidRPr="00D46544">
              <w:rPr>
                <w:rFonts w:cstheme="minorHAnsi"/>
                <w:bCs/>
                <w:color w:val="002060"/>
                <w:sz w:val="24"/>
                <w:szCs w:val="24"/>
                <w:lang w:val="ro-RO"/>
              </w:rPr>
              <w:t>efectuează</w:t>
            </w:r>
            <w:r w:rsidRPr="00D46544">
              <w:rPr>
                <w:rFonts w:cstheme="minorHAnsi"/>
                <w:bCs/>
                <w:color w:val="002060"/>
                <w:sz w:val="24"/>
                <w:szCs w:val="24"/>
                <w:lang w:val="ro-RO"/>
              </w:rPr>
              <w:t xml:space="preserve">̆ </w:t>
            </w:r>
            <w:r w:rsidR="009B48D6" w:rsidRPr="00D46544">
              <w:rPr>
                <w:rFonts w:cstheme="minorHAnsi"/>
                <w:bCs/>
                <w:color w:val="002060"/>
                <w:sz w:val="24"/>
                <w:szCs w:val="24"/>
                <w:lang w:val="ro-RO"/>
              </w:rPr>
              <w:t>atât</w:t>
            </w:r>
            <w:r w:rsidRPr="00D46544">
              <w:rPr>
                <w:rFonts w:cstheme="minorHAnsi"/>
                <w:bCs/>
                <w:color w:val="002060"/>
                <w:sz w:val="24"/>
                <w:szCs w:val="24"/>
                <w:lang w:val="ro-RO"/>
              </w:rPr>
              <w:t xml:space="preserve"> pentru angajații cu normă întreagă, cât și pentru salariatul ̆cu normă parțială.</w:t>
            </w:r>
          </w:p>
          <w:p w14:paraId="6469C371" w14:textId="664F258E"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Formula: ENI anual= Σ număr ore lucrate în proiect în timpul unui an (incluzând și 8h pentru fiecare zi de concediu legal</w:t>
            </w:r>
            <w:r w:rsidR="005B7BB1" w:rsidRPr="00D46544">
              <w:rPr>
                <w:rFonts w:cstheme="minorHAnsi"/>
                <w:b/>
                <w:color w:val="002060"/>
                <w:sz w:val="24"/>
                <w:szCs w:val="24"/>
                <w:lang w:val="ro-RO"/>
              </w:rPr>
              <w:t xml:space="preserve"> </w:t>
            </w:r>
            <w:r w:rsidR="005B7BB1" w:rsidRPr="00D46544">
              <w:rPr>
                <w:rFonts w:cstheme="minorHAnsi"/>
                <w:b/>
                <w:bCs/>
                <w:color w:val="002060"/>
                <w:sz w:val="24"/>
                <w:szCs w:val="24"/>
                <w:lang w:val="ro-RO"/>
              </w:rPr>
              <w:t xml:space="preserve">și zile libere legale plătite, </w:t>
            </w:r>
            <w:r w:rsidRPr="00D46544">
              <w:rPr>
                <w:rFonts w:cstheme="minorHAnsi"/>
                <w:b/>
                <w:color w:val="002060"/>
                <w:sz w:val="24"/>
                <w:szCs w:val="24"/>
                <w:lang w:val="ro-RO"/>
              </w:rPr>
              <w:t>dac</w:t>
            </w:r>
            <w:r w:rsidR="005B7BB1" w:rsidRPr="00D46544">
              <w:rPr>
                <w:rFonts w:cstheme="minorHAnsi"/>
                <w:b/>
                <w:color w:val="002060"/>
                <w:sz w:val="24"/>
                <w:szCs w:val="24"/>
                <w:lang w:val="ro-RO"/>
              </w:rPr>
              <w:t>ă</w:t>
            </w:r>
            <w:r w:rsidRPr="00D46544">
              <w:rPr>
                <w:rFonts w:cstheme="minorHAnsi"/>
                <w:b/>
                <w:color w:val="002060"/>
                <w:sz w:val="24"/>
                <w:szCs w:val="24"/>
                <w:lang w:val="ro-RO"/>
              </w:rPr>
              <w:t xml:space="preserve"> este cazul)/ (52 </w:t>
            </w:r>
            <w:r w:rsidR="009B48D6" w:rsidRPr="00D46544">
              <w:rPr>
                <w:rFonts w:cstheme="minorHAnsi"/>
                <w:b/>
                <w:color w:val="002060"/>
                <w:sz w:val="24"/>
                <w:szCs w:val="24"/>
                <w:lang w:val="ro-RO"/>
              </w:rPr>
              <w:t>săptămâni</w:t>
            </w:r>
            <w:r w:rsidRPr="00D46544">
              <w:rPr>
                <w:rFonts w:cstheme="minorHAnsi"/>
                <w:b/>
                <w:color w:val="002060"/>
                <w:sz w:val="24"/>
                <w:szCs w:val="24"/>
                <w:lang w:val="ro-RO"/>
              </w:rPr>
              <w:t>* 40 ore/</w:t>
            </w:r>
            <w:r w:rsidR="009B48D6" w:rsidRPr="00D46544">
              <w:rPr>
                <w:rFonts w:cstheme="minorHAnsi"/>
                <w:b/>
                <w:color w:val="002060"/>
                <w:sz w:val="24"/>
                <w:szCs w:val="24"/>
                <w:lang w:val="ro-RO"/>
              </w:rPr>
              <w:t>săptămână</w:t>
            </w:r>
            <w:r w:rsidRPr="00D46544">
              <w:rPr>
                <w:rFonts w:cstheme="minorHAnsi"/>
                <w:b/>
                <w:color w:val="002060"/>
                <w:sz w:val="24"/>
                <w:szCs w:val="24"/>
                <w:lang w:val="ro-RO"/>
              </w:rPr>
              <w:t>).</w:t>
            </w:r>
          </w:p>
          <w:p w14:paraId="6EC1A48B" w14:textId="77777777" w:rsidR="00545BB7" w:rsidRPr="00D46544" w:rsidRDefault="00545BB7"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La calculul țintei acestui indicator nu se va lua în calcul personalul auxiliar și nici personalul angajat în echipa de management a proiectului și care nu face dovada implicării in activitățile de CDI din proiect. </w:t>
            </w:r>
          </w:p>
          <w:p w14:paraId="43826240" w14:textId="77777777" w:rsidR="001B75D6" w:rsidRPr="00D46544" w:rsidRDefault="001B75D6" w:rsidP="00D46544">
            <w:pPr>
              <w:spacing w:before="60"/>
              <w:ind w:right="120"/>
              <w:jc w:val="both"/>
              <w:rPr>
                <w:rFonts w:cstheme="minorHAnsi"/>
                <w:b/>
                <w:color w:val="002060"/>
                <w:sz w:val="24"/>
                <w:szCs w:val="24"/>
                <w:lang w:val="ro-RO"/>
              </w:rPr>
            </w:pPr>
          </w:p>
          <w:p w14:paraId="63E74097"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680215D4" w14:textId="6F2FB7E2" w:rsidR="001B75D6" w:rsidRPr="00D46544" w:rsidRDefault="001B75D6" w:rsidP="00D46544">
            <w:pPr>
              <w:spacing w:before="60"/>
              <w:ind w:right="120"/>
              <w:jc w:val="both"/>
              <w:rPr>
                <w:rFonts w:cstheme="minorHAnsi"/>
                <w:b/>
                <w:color w:val="002060"/>
                <w:sz w:val="24"/>
                <w:szCs w:val="24"/>
                <w:lang w:val="ro-RO"/>
              </w:rPr>
            </w:pPr>
            <w:r w:rsidRPr="00D46544">
              <w:rPr>
                <w:rFonts w:cstheme="minorHAnsi"/>
                <w:bCs/>
                <w:color w:val="002060"/>
                <w:sz w:val="24"/>
                <w:szCs w:val="24"/>
                <w:lang w:val="ro-RO"/>
              </w:rPr>
              <w:t>Se raportează anual de către beneficiar, la transmiterea raportului de sustenabilitate către autoritatea contractantă (documente justificative: contract de muncă, fișă de pontaj, ștat de plată</w:t>
            </w:r>
            <w:r w:rsidR="00EF3DD9" w:rsidRPr="00D46544">
              <w:rPr>
                <w:rFonts w:cstheme="minorHAnsi"/>
                <w:bCs/>
                <w:color w:val="002060"/>
                <w:sz w:val="24"/>
                <w:szCs w:val="24"/>
                <w:lang w:val="ro-RO"/>
              </w:rPr>
              <w:t xml:space="preserve"> etc. </w:t>
            </w:r>
            <w:r w:rsidRPr="00D46544">
              <w:rPr>
                <w:rFonts w:cstheme="minorHAnsi"/>
                <w:bCs/>
                <w:color w:val="002060"/>
                <w:sz w:val="24"/>
                <w:szCs w:val="24"/>
                <w:lang w:val="ro-RO"/>
              </w:rPr>
              <w:t>).</w:t>
            </w:r>
          </w:p>
        </w:tc>
      </w:tr>
      <w:tr w:rsidR="00D46544" w:rsidRPr="00D46544" w14:paraId="5B721BAC" w14:textId="77777777" w:rsidTr="009B48D6">
        <w:trPr>
          <w:trHeight w:val="814"/>
        </w:trPr>
        <w:tc>
          <w:tcPr>
            <w:tcW w:w="575" w:type="pct"/>
          </w:tcPr>
          <w:p w14:paraId="3F1B46DC" w14:textId="06437E43"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RCR06</w:t>
            </w:r>
          </w:p>
        </w:tc>
        <w:tc>
          <w:tcPr>
            <w:tcW w:w="769" w:type="pct"/>
          </w:tcPr>
          <w:p w14:paraId="147A4BE7" w14:textId="67024B4F"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Cereri de brevete depuse</w:t>
            </w:r>
          </w:p>
        </w:tc>
        <w:tc>
          <w:tcPr>
            <w:tcW w:w="504" w:type="pct"/>
          </w:tcPr>
          <w:p w14:paraId="608D5B04" w14:textId="6EF96C5B" w:rsidR="001B75D6" w:rsidRPr="00D46544" w:rsidRDefault="00C65221"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w:t>
            </w:r>
          </w:p>
        </w:tc>
        <w:tc>
          <w:tcPr>
            <w:tcW w:w="530" w:type="pct"/>
          </w:tcPr>
          <w:p w14:paraId="54EF9644" w14:textId="0FCA578C"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Cereri de brevet</w:t>
            </w:r>
          </w:p>
        </w:tc>
        <w:tc>
          <w:tcPr>
            <w:tcW w:w="2622" w:type="pct"/>
          </w:tcPr>
          <w:p w14:paraId="2502A903" w14:textId="4303F615"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0CFE136C" w14:textId="3A673A35"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Numărul de cereri de brevete depuse pe baza rezultatelor activităților de cercetare din cadrul proiectului. </w:t>
            </w:r>
          </w:p>
          <w:p w14:paraId="1458CBC2" w14:textId="5ACAE84D"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De </w:t>
            </w:r>
            <w:r w:rsidR="009B48D6" w:rsidRPr="00D46544">
              <w:rPr>
                <w:rFonts w:cstheme="minorHAnsi"/>
                <w:bCs/>
                <w:color w:val="002060"/>
                <w:sz w:val="24"/>
                <w:szCs w:val="24"/>
                <w:lang w:val="ro-RO"/>
              </w:rPr>
              <w:t>exemplu</w:t>
            </w:r>
            <w:r w:rsidRPr="00D46544">
              <w:rPr>
                <w:rFonts w:cstheme="minorHAnsi"/>
                <w:bCs/>
                <w:color w:val="002060"/>
                <w:sz w:val="24"/>
                <w:szCs w:val="24"/>
                <w:lang w:val="ro-RO"/>
              </w:rPr>
              <w:t>: cererile de brevete se pot depune la Oficiul de Stat Pentru Invenții și Mărci și/ sau la Oficiul European pentru Brevete.</w:t>
            </w:r>
          </w:p>
          <w:p w14:paraId="49A5BD6D" w14:textId="77777777" w:rsidR="001B75D6" w:rsidRPr="00D46544" w:rsidRDefault="001B75D6" w:rsidP="00D46544">
            <w:pPr>
              <w:spacing w:before="60"/>
              <w:ind w:right="120"/>
              <w:jc w:val="both"/>
              <w:rPr>
                <w:rFonts w:cstheme="minorHAnsi"/>
                <w:b/>
                <w:color w:val="002060"/>
                <w:sz w:val="24"/>
                <w:szCs w:val="24"/>
                <w:lang w:val="ro-RO"/>
              </w:rPr>
            </w:pPr>
          </w:p>
          <w:p w14:paraId="7E482DAE" w14:textId="320D774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70169A72" w14:textId="506AF34D"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Suma cererilor de brevete depuse de beneficiar.</w:t>
            </w:r>
          </w:p>
          <w:p w14:paraId="5B24D0BC" w14:textId="77777777" w:rsidR="001B75D6" w:rsidRPr="00D46544" w:rsidRDefault="001B75D6" w:rsidP="00D46544">
            <w:pPr>
              <w:spacing w:before="60"/>
              <w:ind w:right="120"/>
              <w:jc w:val="both"/>
              <w:rPr>
                <w:rFonts w:cstheme="minorHAnsi"/>
                <w:b/>
                <w:color w:val="002060"/>
                <w:sz w:val="24"/>
                <w:szCs w:val="24"/>
                <w:lang w:val="ro-RO"/>
              </w:rPr>
            </w:pPr>
          </w:p>
          <w:p w14:paraId="2E6891DE"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13B1AE06" w14:textId="77777777"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lastRenderedPageBreak/>
              <w:t>Valoarea realizată: reprezintă numărul de cereri de brevete depuse ca urmare a implementării proiectului. Valoarea realizată este raportată la cel mult un an după finalizarea proiectului (în baza documentelor justificative anexate).</w:t>
            </w:r>
          </w:p>
          <w:p w14:paraId="0F3DB157" w14:textId="77777777" w:rsidR="006769B6" w:rsidRPr="00D46544" w:rsidRDefault="006769B6" w:rsidP="00D46544">
            <w:pPr>
              <w:spacing w:before="60"/>
              <w:ind w:right="120"/>
              <w:jc w:val="both"/>
              <w:rPr>
                <w:rFonts w:cstheme="minorHAnsi"/>
                <w:bCs/>
                <w:color w:val="002060"/>
                <w:sz w:val="24"/>
                <w:szCs w:val="24"/>
                <w:lang w:val="ro-RO"/>
              </w:rPr>
            </w:pPr>
          </w:p>
          <w:p w14:paraId="34784AE0" w14:textId="45C66D1D" w:rsidR="006769B6" w:rsidRPr="00D46544" w:rsidRDefault="006769B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4811C7" w:rsidRPr="00D46544">
              <w:rPr>
                <w:rFonts w:cstheme="minorHAnsi"/>
                <w:b/>
                <w:color w:val="002060"/>
                <w:sz w:val="24"/>
                <w:szCs w:val="24"/>
                <w:lang w:val="ro-RO"/>
              </w:rPr>
              <w:t xml:space="preserve"> în</w:t>
            </w:r>
            <w:r w:rsidRPr="00D46544">
              <w:rPr>
                <w:rFonts w:cstheme="minorHAnsi"/>
                <w:b/>
                <w:color w:val="002060"/>
                <w:sz w:val="24"/>
                <w:szCs w:val="24"/>
                <w:lang w:val="ro-RO"/>
              </w:rPr>
              <w:t xml:space="preserve"> funcție de regiunea de dezvoltare</w:t>
            </w:r>
          </w:p>
          <w:p w14:paraId="06649343" w14:textId="1DEC691A" w:rsidR="00031018" w:rsidRPr="00D46544" w:rsidRDefault="00076010"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w:t>
            </w:r>
            <w:r w:rsidR="00717156" w:rsidRPr="00D46544">
              <w:rPr>
                <w:rFonts w:cstheme="minorHAnsi"/>
                <w:bCs/>
                <w:color w:val="002060"/>
                <w:sz w:val="24"/>
                <w:szCs w:val="24"/>
                <w:lang w:val="ro-RO"/>
              </w:rPr>
              <w:t xml:space="preserve"> RCR06 </w:t>
            </w:r>
            <w:r w:rsidRPr="00D46544">
              <w:rPr>
                <w:rFonts w:cstheme="minorHAnsi"/>
                <w:bCs/>
                <w:color w:val="002060"/>
                <w:sz w:val="24"/>
                <w:szCs w:val="24"/>
                <w:lang w:val="ro-RO"/>
              </w:rPr>
              <w:t xml:space="preserve">pe tip de regiune de dezvoltare se face </w:t>
            </w:r>
            <w:r w:rsidR="004811C7" w:rsidRPr="00D46544">
              <w:rPr>
                <w:rFonts w:cstheme="minorHAnsi"/>
                <w:bCs/>
                <w:color w:val="002060"/>
                <w:sz w:val="24"/>
                <w:szCs w:val="24"/>
                <w:lang w:val="ro-RO"/>
              </w:rPr>
              <w:t xml:space="preserve">în funcție de locația de implementare a proiectului. </w:t>
            </w:r>
          </w:p>
        </w:tc>
      </w:tr>
      <w:tr w:rsidR="00D46544" w:rsidRPr="00D46544" w14:paraId="071A35B8" w14:textId="77777777" w:rsidTr="009B48D6">
        <w:trPr>
          <w:trHeight w:val="814"/>
        </w:trPr>
        <w:tc>
          <w:tcPr>
            <w:tcW w:w="575" w:type="pct"/>
          </w:tcPr>
          <w:p w14:paraId="0F8D40B7" w14:textId="138B8A78"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RCR08</w:t>
            </w:r>
          </w:p>
        </w:tc>
        <w:tc>
          <w:tcPr>
            <w:tcW w:w="769" w:type="pct"/>
          </w:tcPr>
          <w:p w14:paraId="38F87443" w14:textId="758FCF0C"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Publicații ale proiectelor care beneficiază de sprijin</w:t>
            </w:r>
          </w:p>
        </w:tc>
        <w:tc>
          <w:tcPr>
            <w:tcW w:w="504" w:type="pct"/>
          </w:tcPr>
          <w:p w14:paraId="1AED4A6F" w14:textId="77777777" w:rsidR="00C65221" w:rsidRPr="00D46544" w:rsidRDefault="00C65221"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1FB3D99"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0D04DD9C" w14:textId="29E99B65"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Publicații</w:t>
            </w:r>
          </w:p>
        </w:tc>
        <w:tc>
          <w:tcPr>
            <w:tcW w:w="2622" w:type="pct"/>
          </w:tcPr>
          <w:p w14:paraId="412F9B64"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35133E6" w14:textId="6E838BDC"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Număr de publicații din proiectul care beneficiază de finanțare. Publicațiile pot avea forma de articole, capitole de cărți sau cărți (incluzând </w:t>
            </w:r>
            <w:proofErr w:type="spellStart"/>
            <w:r w:rsidRPr="00D46544">
              <w:rPr>
                <w:rFonts w:cstheme="minorHAnsi"/>
                <w:bCs/>
                <w:color w:val="002060"/>
                <w:sz w:val="24"/>
                <w:szCs w:val="24"/>
                <w:lang w:val="ro-RO"/>
              </w:rPr>
              <w:t>co</w:t>
            </w:r>
            <w:proofErr w:type="spellEnd"/>
            <w:r w:rsidRPr="00D46544">
              <w:rPr>
                <w:rFonts w:cstheme="minorHAnsi"/>
                <w:bCs/>
                <w:color w:val="002060"/>
                <w:sz w:val="24"/>
                <w:szCs w:val="24"/>
                <w:lang w:val="ro-RO"/>
              </w:rPr>
              <w:t>-publicații). Contribuția proiectului susținut ar trebui să fie clar identificabilă. Indicatorul acoperă lucrările care au fost trimise și acceptate spre recenzare de către publicații recenzate (</w:t>
            </w:r>
            <w:proofErr w:type="spellStart"/>
            <w:r w:rsidRPr="00D46544">
              <w:rPr>
                <w:rFonts w:cstheme="minorHAnsi"/>
                <w:bCs/>
                <w:color w:val="002060"/>
                <w:sz w:val="24"/>
                <w:szCs w:val="24"/>
                <w:lang w:val="ro-RO"/>
              </w:rPr>
              <w:t>peer-reviewed</w:t>
            </w:r>
            <w:proofErr w:type="spellEnd"/>
            <w:r w:rsidRPr="00D46544">
              <w:rPr>
                <w:rFonts w:cstheme="minorHAnsi"/>
                <w:bCs/>
                <w:color w:val="002060"/>
                <w:sz w:val="24"/>
                <w:szCs w:val="24"/>
                <w:lang w:val="ro-RO"/>
              </w:rPr>
              <w:t>).</w:t>
            </w:r>
          </w:p>
          <w:p w14:paraId="5DE81346" w14:textId="77777777" w:rsidR="001B75D6" w:rsidRPr="00D46544" w:rsidRDefault="001B75D6" w:rsidP="00D46544">
            <w:pPr>
              <w:spacing w:before="60"/>
              <w:ind w:right="120"/>
              <w:jc w:val="both"/>
              <w:rPr>
                <w:rFonts w:cstheme="minorHAnsi"/>
                <w:bCs/>
                <w:color w:val="002060"/>
                <w:sz w:val="24"/>
                <w:szCs w:val="24"/>
                <w:lang w:val="ro-RO"/>
              </w:rPr>
            </w:pPr>
          </w:p>
          <w:p w14:paraId="2B3843F7"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289424E9" w14:textId="04C875F5"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Suma publicațiilor realizate ca urmare a implementării proiectului.</w:t>
            </w:r>
          </w:p>
          <w:p w14:paraId="1CF2F668" w14:textId="77777777" w:rsidR="006769B6" w:rsidRPr="00D46544" w:rsidRDefault="006769B6" w:rsidP="00D46544">
            <w:pPr>
              <w:spacing w:before="60"/>
              <w:ind w:right="120"/>
              <w:jc w:val="both"/>
              <w:rPr>
                <w:rFonts w:cstheme="minorHAnsi"/>
                <w:color w:val="002060"/>
                <w:sz w:val="24"/>
                <w:szCs w:val="24"/>
                <w:lang w:val="ro-RO"/>
              </w:rPr>
            </w:pPr>
          </w:p>
          <w:p w14:paraId="5E322C34"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362C1D98" w14:textId="77777777"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Valoarea realizată: reprezintă numărul de publicații (ca de ex.: articole, capitole de cărți sau cărți, incluzând </w:t>
            </w:r>
            <w:proofErr w:type="spellStart"/>
            <w:r w:rsidRPr="00D46544">
              <w:rPr>
                <w:rFonts w:cstheme="minorHAnsi"/>
                <w:bCs/>
                <w:color w:val="002060"/>
                <w:sz w:val="24"/>
                <w:szCs w:val="24"/>
                <w:lang w:val="ro-RO"/>
              </w:rPr>
              <w:t>co</w:t>
            </w:r>
            <w:proofErr w:type="spellEnd"/>
            <w:r w:rsidRPr="00D46544">
              <w:rPr>
                <w:rFonts w:cstheme="minorHAnsi"/>
                <w:bCs/>
                <w:color w:val="002060"/>
                <w:sz w:val="24"/>
                <w:szCs w:val="24"/>
                <w:lang w:val="ro-RO"/>
              </w:rPr>
              <w:t>-publicații) acceptate spre recenzare/acceptare spre publicare/publicate.</w:t>
            </w:r>
          </w:p>
          <w:p w14:paraId="6B708F7B" w14:textId="77777777" w:rsidR="006769B6" w:rsidRPr="00D46544" w:rsidRDefault="006769B6" w:rsidP="00D46544">
            <w:pPr>
              <w:spacing w:before="60"/>
              <w:ind w:right="120"/>
              <w:jc w:val="both"/>
              <w:rPr>
                <w:rFonts w:cstheme="minorHAnsi"/>
                <w:bCs/>
                <w:color w:val="002060"/>
                <w:sz w:val="24"/>
                <w:szCs w:val="24"/>
                <w:lang w:val="ro-RO"/>
              </w:rPr>
            </w:pPr>
          </w:p>
          <w:p w14:paraId="0739ACD2" w14:textId="07334DBB" w:rsidR="004232C1" w:rsidRPr="00D46544" w:rsidRDefault="006769B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1670F9" w:rsidRPr="00D46544">
              <w:rPr>
                <w:rFonts w:cstheme="minorHAnsi"/>
                <w:b/>
                <w:color w:val="002060"/>
                <w:sz w:val="24"/>
                <w:szCs w:val="24"/>
                <w:lang w:val="ro-RO"/>
              </w:rPr>
              <w:t xml:space="preserve"> în</w:t>
            </w:r>
            <w:r w:rsidRPr="00D46544">
              <w:rPr>
                <w:rFonts w:cstheme="minorHAnsi"/>
                <w:b/>
                <w:color w:val="002060"/>
                <w:sz w:val="24"/>
                <w:szCs w:val="24"/>
                <w:lang w:val="ro-RO"/>
              </w:rPr>
              <w:t xml:space="preserve"> funcție de regiunea de dezvoltare</w:t>
            </w:r>
          </w:p>
          <w:p w14:paraId="3AC99BDC" w14:textId="262B0691" w:rsidR="004232C1" w:rsidRPr="00D46544" w:rsidRDefault="004232C1"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lastRenderedPageBreak/>
              <w:t xml:space="preserve">Stabilirea și raportarea indicatorului  RCO08  pe regiunea de dezvoltare (regiune mai puțin dezvoltată/regiune mai dezvoltată) se </w:t>
            </w:r>
            <w:r w:rsidR="006769B6" w:rsidRPr="00D46544">
              <w:rPr>
                <w:rFonts w:cstheme="minorHAnsi"/>
                <w:bCs/>
                <w:color w:val="002060"/>
                <w:sz w:val="24"/>
                <w:szCs w:val="24"/>
                <w:lang w:val="ro-RO"/>
              </w:rPr>
              <w:t xml:space="preserve">va realiza </w:t>
            </w:r>
            <w:r w:rsidRPr="00D46544">
              <w:rPr>
                <w:rFonts w:cstheme="minorHAnsi"/>
                <w:bCs/>
                <w:color w:val="002060"/>
                <w:sz w:val="24"/>
                <w:szCs w:val="24"/>
                <w:lang w:val="ro-RO"/>
              </w:rPr>
              <w:t xml:space="preserve">funcție de </w:t>
            </w:r>
            <w:r w:rsidR="002645E3" w:rsidRPr="00D46544">
              <w:rPr>
                <w:rFonts w:cstheme="minorHAnsi"/>
                <w:bCs/>
                <w:color w:val="002060"/>
                <w:sz w:val="24"/>
                <w:szCs w:val="24"/>
                <w:lang w:val="ro-RO"/>
              </w:rPr>
              <w:t>împărțirea</w:t>
            </w:r>
            <w:r w:rsidRPr="00D46544">
              <w:rPr>
                <w:rFonts w:cstheme="minorHAnsi"/>
                <w:bCs/>
                <w:color w:val="002060"/>
                <w:sz w:val="24"/>
                <w:szCs w:val="24"/>
                <w:lang w:val="ro-RO"/>
              </w:rPr>
              <w:t xml:space="preserve"> pe </w:t>
            </w:r>
            <w:r w:rsidR="006769B6" w:rsidRPr="00D46544">
              <w:rPr>
                <w:rFonts w:cstheme="minorHAnsi"/>
                <w:bCs/>
                <w:color w:val="002060"/>
                <w:sz w:val="24"/>
                <w:szCs w:val="24"/>
                <w:lang w:val="ro-RO"/>
              </w:rPr>
              <w:t xml:space="preserve"> cele 2 tipuri de</w:t>
            </w:r>
            <w:r w:rsidRPr="00D46544">
              <w:rPr>
                <w:rFonts w:cstheme="minorHAnsi"/>
                <w:bCs/>
                <w:color w:val="002060"/>
                <w:sz w:val="24"/>
                <w:szCs w:val="24"/>
                <w:lang w:val="ro-RO"/>
              </w:rPr>
              <w:t xml:space="preserve"> regiuni</w:t>
            </w:r>
            <w:r w:rsidR="006769B6" w:rsidRPr="00D46544">
              <w:rPr>
                <w:rFonts w:cstheme="minorHAnsi"/>
                <w:bCs/>
                <w:color w:val="002060"/>
                <w:sz w:val="24"/>
                <w:szCs w:val="24"/>
                <w:lang w:val="ro-RO"/>
              </w:rPr>
              <w:t xml:space="preserve"> de dezvoltare</w:t>
            </w:r>
            <w:r w:rsidRPr="00D46544">
              <w:rPr>
                <w:rFonts w:cstheme="minorHAnsi"/>
                <w:bCs/>
                <w:color w:val="002060"/>
                <w:sz w:val="24"/>
                <w:szCs w:val="24"/>
                <w:lang w:val="ro-RO"/>
              </w:rPr>
              <w:t xml:space="preserve">, astfel: </w:t>
            </w:r>
          </w:p>
          <w:p w14:paraId="72E36E00" w14:textId="48C26F2C" w:rsidR="004232C1" w:rsidRPr="00D46544" w:rsidRDefault="004232C1" w:rsidP="00D46544">
            <w:pPr>
              <w:pStyle w:val="ListParagraph"/>
              <w:numPr>
                <w:ilvl w:val="0"/>
                <w:numId w:val="9"/>
              </w:numPr>
              <w:spacing w:before="60"/>
              <w:ind w:right="120"/>
              <w:contextualSpacing w:val="0"/>
              <w:jc w:val="both"/>
              <w:rPr>
                <w:rFonts w:cstheme="minorHAnsi"/>
                <w:bCs/>
                <w:color w:val="002060"/>
                <w:sz w:val="24"/>
                <w:szCs w:val="24"/>
                <w:lang w:val="ro-RO"/>
              </w:rPr>
            </w:pPr>
            <w:r w:rsidRPr="00D46544">
              <w:rPr>
                <w:rFonts w:cstheme="minorHAnsi"/>
                <w:bCs/>
                <w:color w:val="002060"/>
                <w:sz w:val="24"/>
                <w:szCs w:val="24"/>
                <w:lang w:val="ro-RO"/>
              </w:rPr>
              <w:t>94</w:t>
            </w:r>
            <w:r w:rsidR="002645E3" w:rsidRPr="00D46544">
              <w:rPr>
                <w:rFonts w:cstheme="minorHAnsi"/>
                <w:bCs/>
                <w:color w:val="002060"/>
                <w:sz w:val="24"/>
                <w:szCs w:val="24"/>
                <w:lang w:val="ro-RO"/>
              </w:rPr>
              <w:t>%</w:t>
            </w:r>
            <w:r w:rsidRPr="00D46544">
              <w:rPr>
                <w:rFonts w:cstheme="minorHAnsi"/>
                <w:bCs/>
                <w:color w:val="002060"/>
                <w:sz w:val="24"/>
                <w:szCs w:val="24"/>
                <w:lang w:val="ro-RO"/>
              </w:rPr>
              <w:t xml:space="preserve"> din </w:t>
            </w:r>
            <w:r w:rsidR="006769B6" w:rsidRPr="00D46544">
              <w:rPr>
                <w:rFonts w:cstheme="minorHAnsi"/>
                <w:bCs/>
                <w:color w:val="002060"/>
                <w:sz w:val="24"/>
                <w:szCs w:val="24"/>
                <w:lang w:val="ro-RO"/>
              </w:rPr>
              <w:t>numărul total al publicațiilor va fi raportată pentru</w:t>
            </w:r>
            <w:r w:rsidRPr="00D46544">
              <w:rPr>
                <w:rFonts w:cstheme="minorHAnsi"/>
                <w:bCs/>
                <w:color w:val="002060"/>
                <w:sz w:val="24"/>
                <w:szCs w:val="24"/>
                <w:lang w:val="ro-RO"/>
              </w:rPr>
              <w:t xml:space="preserve"> regiunile mai puțin dezvoltate,</w:t>
            </w:r>
          </w:p>
          <w:p w14:paraId="0EB66A57" w14:textId="4F73DD49" w:rsidR="007F47DF" w:rsidRPr="00D46544" w:rsidRDefault="004232C1" w:rsidP="00D46544">
            <w:pPr>
              <w:pStyle w:val="ListParagraph"/>
              <w:numPr>
                <w:ilvl w:val="0"/>
                <w:numId w:val="9"/>
              </w:numPr>
              <w:spacing w:before="60"/>
              <w:ind w:right="120"/>
              <w:contextualSpacing w:val="0"/>
              <w:jc w:val="both"/>
              <w:rPr>
                <w:rFonts w:cstheme="minorHAnsi"/>
                <w:bCs/>
                <w:color w:val="002060"/>
                <w:sz w:val="24"/>
                <w:szCs w:val="24"/>
                <w:lang w:val="ro-RO"/>
              </w:rPr>
            </w:pPr>
            <w:r w:rsidRPr="00D46544">
              <w:rPr>
                <w:rFonts w:cstheme="minorHAnsi"/>
                <w:bCs/>
                <w:color w:val="002060"/>
                <w:sz w:val="24"/>
                <w:szCs w:val="24"/>
                <w:lang w:val="ro-RO"/>
              </w:rPr>
              <w:t>6</w:t>
            </w:r>
            <w:r w:rsidR="002645E3" w:rsidRPr="00D46544">
              <w:rPr>
                <w:rFonts w:cstheme="minorHAnsi"/>
                <w:bCs/>
                <w:color w:val="002060"/>
                <w:sz w:val="24"/>
                <w:szCs w:val="24"/>
                <w:lang w:val="ro-RO"/>
              </w:rPr>
              <w:t>%</w:t>
            </w:r>
            <w:r w:rsidRPr="00D46544">
              <w:rPr>
                <w:rFonts w:cstheme="minorHAnsi"/>
                <w:bCs/>
                <w:color w:val="002060"/>
                <w:sz w:val="24"/>
                <w:szCs w:val="24"/>
                <w:lang w:val="ro-RO"/>
              </w:rPr>
              <w:t xml:space="preserve"> din </w:t>
            </w:r>
            <w:r w:rsidR="006769B6" w:rsidRPr="00D46544">
              <w:rPr>
                <w:rFonts w:cstheme="minorHAnsi"/>
                <w:bCs/>
                <w:color w:val="002060"/>
                <w:sz w:val="24"/>
                <w:szCs w:val="24"/>
                <w:lang w:val="ro-RO"/>
              </w:rPr>
              <w:t xml:space="preserve">numărul total al publicațiilor va fi raportată pentru </w:t>
            </w:r>
            <w:r w:rsidRPr="00D46544">
              <w:rPr>
                <w:rFonts w:cstheme="minorHAnsi"/>
                <w:bCs/>
                <w:color w:val="002060"/>
                <w:sz w:val="24"/>
                <w:szCs w:val="24"/>
                <w:lang w:val="ro-RO"/>
              </w:rPr>
              <w:t>regiunile mai dezvoltate.</w:t>
            </w:r>
          </w:p>
        </w:tc>
      </w:tr>
    </w:tbl>
    <w:p w14:paraId="0B3F2491" w14:textId="77777777" w:rsidR="005E7824" w:rsidRPr="00D46544" w:rsidRDefault="005E7824" w:rsidP="00D46544">
      <w:pPr>
        <w:spacing w:before="60" w:after="0" w:line="240" w:lineRule="auto"/>
        <w:jc w:val="both"/>
        <w:rPr>
          <w:rFonts w:cstheme="minorHAnsi"/>
          <w:color w:val="002060"/>
          <w:sz w:val="24"/>
          <w:szCs w:val="24"/>
        </w:rPr>
      </w:pPr>
    </w:p>
    <w:sectPr w:rsidR="005E7824" w:rsidRPr="00D46544" w:rsidSect="001E2DB3">
      <w:headerReference w:type="default" r:id="rId8"/>
      <w:pgSz w:w="16838" w:h="11906" w:orient="landscape"/>
      <w:pgMar w:top="720"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30F46" w14:textId="77777777" w:rsidR="001E2DB3" w:rsidRDefault="001E2DB3" w:rsidP="003E3D14">
      <w:pPr>
        <w:spacing w:after="0" w:line="240" w:lineRule="auto"/>
      </w:pPr>
      <w:r>
        <w:separator/>
      </w:r>
    </w:p>
  </w:endnote>
  <w:endnote w:type="continuationSeparator" w:id="0">
    <w:p w14:paraId="7B130C49" w14:textId="77777777" w:rsidR="001E2DB3" w:rsidRDefault="001E2DB3" w:rsidP="003E3D14">
      <w:pPr>
        <w:spacing w:after="0" w:line="240" w:lineRule="auto"/>
      </w:pPr>
      <w:r>
        <w:continuationSeparator/>
      </w:r>
    </w:p>
  </w:endnote>
  <w:endnote w:type="continuationNotice" w:id="1">
    <w:p w14:paraId="27E35497" w14:textId="77777777" w:rsidR="001E2DB3" w:rsidRDefault="001E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6710" w14:textId="77777777" w:rsidR="001E2DB3" w:rsidRDefault="001E2DB3" w:rsidP="003E3D14">
      <w:pPr>
        <w:spacing w:after="0" w:line="240" w:lineRule="auto"/>
      </w:pPr>
      <w:r>
        <w:separator/>
      </w:r>
    </w:p>
  </w:footnote>
  <w:footnote w:type="continuationSeparator" w:id="0">
    <w:p w14:paraId="5CB17C69" w14:textId="77777777" w:rsidR="001E2DB3" w:rsidRDefault="001E2DB3" w:rsidP="003E3D14">
      <w:pPr>
        <w:spacing w:after="0" w:line="240" w:lineRule="auto"/>
      </w:pPr>
      <w:r>
        <w:continuationSeparator/>
      </w:r>
    </w:p>
  </w:footnote>
  <w:footnote w:type="continuationNotice" w:id="1">
    <w:p w14:paraId="080621CC" w14:textId="77777777" w:rsidR="001E2DB3" w:rsidRDefault="001E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032A" w14:textId="77777777" w:rsidR="00D46544" w:rsidRPr="00D46544" w:rsidRDefault="00D46544" w:rsidP="00D46544">
    <w:pPr>
      <w:spacing w:before="60" w:after="0" w:line="240" w:lineRule="auto"/>
      <w:ind w:right="91"/>
      <w:jc w:val="center"/>
      <w:rPr>
        <w:rFonts w:ascii="Calibri" w:eastAsia="Calibri" w:hAnsi="Calibri" w:cs="Calibri"/>
        <w:b/>
        <w:color w:val="002060"/>
        <w:spacing w:val="-1"/>
        <w:sz w:val="24"/>
        <w:szCs w:val="24"/>
      </w:rPr>
    </w:pPr>
    <w:r w:rsidRPr="00D46544">
      <w:rPr>
        <w:rFonts w:ascii="Calibri" w:eastAsia="Calibri" w:hAnsi="Calibri" w:cs="Calibri"/>
        <w:b/>
        <w:color w:val="002060"/>
        <w:spacing w:val="-1"/>
        <w:sz w:val="24"/>
        <w:szCs w:val="24"/>
      </w:rPr>
      <w:t>GHIDUL SOLICITANTULUI</w:t>
    </w:r>
  </w:p>
  <w:p w14:paraId="15853D39" w14:textId="77777777" w:rsidR="00D46544" w:rsidRPr="00D46544" w:rsidRDefault="00D46544" w:rsidP="00D46544">
    <w:pPr>
      <w:spacing w:before="60" w:after="0" w:line="240" w:lineRule="auto"/>
      <w:jc w:val="center"/>
      <w:rPr>
        <w:rFonts w:ascii="Calibri" w:eastAsia="Calibri" w:hAnsi="Calibri" w:cs="Calibri"/>
        <w:b/>
        <w:bCs/>
        <w:color w:val="002060"/>
        <w:sz w:val="24"/>
        <w:szCs w:val="24"/>
      </w:rPr>
    </w:pPr>
    <w:bookmarkStart w:id="1" w:name="_Hlk156226400"/>
    <w:r w:rsidRPr="00D46544">
      <w:rPr>
        <w:rFonts w:ascii="Calibri" w:eastAsia="Calibri" w:hAnsi="Calibri" w:cs="Calibri"/>
        <w:b/>
        <w:bCs/>
        <w:color w:val="002060"/>
        <w:sz w:val="24"/>
        <w:szCs w:val="24"/>
      </w:rPr>
      <w:t xml:space="preserve">Sprijin pentru implementarea de soluții de cercetare  de importanță strategică în domeniul medical: </w:t>
    </w:r>
  </w:p>
  <w:p w14:paraId="1A28D00B" w14:textId="67095BD4" w:rsidR="003E3D14" w:rsidRPr="00D46544" w:rsidRDefault="00D46544" w:rsidP="00D46544">
    <w:pPr>
      <w:spacing w:before="60" w:after="0" w:line="240" w:lineRule="auto"/>
      <w:jc w:val="center"/>
      <w:rPr>
        <w:rFonts w:ascii="Calibri" w:eastAsia="Calibri" w:hAnsi="Calibri" w:cs="Calibri"/>
        <w:b/>
        <w:bCs/>
        <w:i/>
        <w:iCs/>
        <w:color w:val="002060"/>
        <w:sz w:val="24"/>
        <w:szCs w:val="24"/>
      </w:rPr>
    </w:pPr>
    <w:r w:rsidRPr="00D46544">
      <w:rPr>
        <w:rFonts w:ascii="Calibri" w:eastAsia="Calibri" w:hAnsi="Calibri" w:cs="Calibri"/>
        <w:b/>
        <w:bCs/>
        <w:color w:val="002060"/>
        <w:sz w:val="24"/>
        <w:szCs w:val="24"/>
      </w:rPr>
      <w:t>genomică; boli netransmisibile (ex. dezvoltarea de soluții de cercetare pentru tratarea cancerelor);  vaccinuri, seruri și alte medicamente biologice</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1756E"/>
    <w:multiLevelType w:val="hybridMultilevel"/>
    <w:tmpl w:val="91A0109E"/>
    <w:lvl w:ilvl="0" w:tplc="36386370">
      <w:start w:val="90"/>
      <w:numFmt w:val="bullet"/>
      <w:lvlText w:val="-"/>
      <w:lvlJc w:val="left"/>
      <w:pPr>
        <w:ind w:left="720" w:hanging="360"/>
      </w:pPr>
      <w:rPr>
        <w:rFonts w:ascii="Trebuchet MS" w:eastAsia="Calibr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47BBF"/>
    <w:multiLevelType w:val="hybridMultilevel"/>
    <w:tmpl w:val="3372FA50"/>
    <w:lvl w:ilvl="0" w:tplc="1E26ECC4">
      <w:start w:val="1"/>
      <w:numFmt w:val="bullet"/>
      <w:lvlText w:val=""/>
      <w:lvlJc w:val="left"/>
      <w:pPr>
        <w:ind w:left="1440" w:hanging="360"/>
      </w:pPr>
      <w:rPr>
        <w:rFonts w:ascii="Wingdings" w:hAnsi="Wingdings" w:hint="default"/>
        <w:color w:val="2E74B5" w:themeColor="accent1" w:themeShade="BF"/>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E17DB6"/>
    <w:multiLevelType w:val="hybridMultilevel"/>
    <w:tmpl w:val="A9E2ADE4"/>
    <w:lvl w:ilvl="0" w:tplc="34AACEFA">
      <w:start w:val="1"/>
      <w:numFmt w:val="bullet"/>
      <w:lvlText w:val=""/>
      <w:lvlJc w:val="left"/>
      <w:pPr>
        <w:ind w:left="720" w:hanging="360"/>
      </w:pPr>
      <w:rPr>
        <w:rFonts w:ascii="Wingdings 3" w:hAnsi="Wingdings 3" w:hint="default"/>
        <w:color w:val="FFC000"/>
        <w:sz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27E7"/>
    <w:multiLevelType w:val="hybridMultilevel"/>
    <w:tmpl w:val="1B865C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96B325D"/>
    <w:multiLevelType w:val="hybridMultilevel"/>
    <w:tmpl w:val="87FE7ED4"/>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97760AC"/>
    <w:multiLevelType w:val="hybridMultilevel"/>
    <w:tmpl w:val="F8100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B30A6E"/>
    <w:multiLevelType w:val="hybridMultilevel"/>
    <w:tmpl w:val="95B83D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020DB1"/>
    <w:multiLevelType w:val="hybridMultilevel"/>
    <w:tmpl w:val="C6C27A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5267418">
    <w:abstractNumId w:val="4"/>
  </w:num>
  <w:num w:numId="2" w16cid:durableId="1485858710">
    <w:abstractNumId w:val="8"/>
  </w:num>
  <w:num w:numId="3" w16cid:durableId="76246491">
    <w:abstractNumId w:val="5"/>
  </w:num>
  <w:num w:numId="4" w16cid:durableId="1816944660">
    <w:abstractNumId w:val="2"/>
  </w:num>
  <w:num w:numId="5" w16cid:durableId="698622165">
    <w:abstractNumId w:val="7"/>
  </w:num>
  <w:num w:numId="6" w16cid:durableId="1305551364">
    <w:abstractNumId w:val="0"/>
  </w:num>
  <w:num w:numId="7" w16cid:durableId="1418210002">
    <w:abstractNumId w:val="3"/>
  </w:num>
  <w:num w:numId="8" w16cid:durableId="935986572">
    <w:abstractNumId w:val="1"/>
  </w:num>
  <w:num w:numId="9" w16cid:durableId="1991518866">
    <w:abstractNumId w:val="6"/>
  </w:num>
  <w:num w:numId="10" w16cid:durableId="433744527">
    <w:abstractNumId w:val="10"/>
  </w:num>
  <w:num w:numId="11" w16cid:durableId="842624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06204"/>
    <w:rsid w:val="00012A69"/>
    <w:rsid w:val="00012EBB"/>
    <w:rsid w:val="00020314"/>
    <w:rsid w:val="00025851"/>
    <w:rsid w:val="0003098C"/>
    <w:rsid w:val="00031018"/>
    <w:rsid w:val="0003488A"/>
    <w:rsid w:val="00040442"/>
    <w:rsid w:val="000416A2"/>
    <w:rsid w:val="00042D90"/>
    <w:rsid w:val="000472E9"/>
    <w:rsid w:val="00051A77"/>
    <w:rsid w:val="00060D2E"/>
    <w:rsid w:val="000631AC"/>
    <w:rsid w:val="00063B5A"/>
    <w:rsid w:val="00076010"/>
    <w:rsid w:val="000907BB"/>
    <w:rsid w:val="00092730"/>
    <w:rsid w:val="00093D00"/>
    <w:rsid w:val="000A61B4"/>
    <w:rsid w:val="000B336A"/>
    <w:rsid w:val="000B4744"/>
    <w:rsid w:val="000B6D38"/>
    <w:rsid w:val="000B77D8"/>
    <w:rsid w:val="000C4D53"/>
    <w:rsid w:val="000C5074"/>
    <w:rsid w:val="000D1181"/>
    <w:rsid w:val="000D741C"/>
    <w:rsid w:val="000D7A64"/>
    <w:rsid w:val="000E7052"/>
    <w:rsid w:val="000F3C2C"/>
    <w:rsid w:val="000F79A2"/>
    <w:rsid w:val="00114E03"/>
    <w:rsid w:val="001307EE"/>
    <w:rsid w:val="0013578D"/>
    <w:rsid w:val="00147AE8"/>
    <w:rsid w:val="00151015"/>
    <w:rsid w:val="0015393E"/>
    <w:rsid w:val="0016145A"/>
    <w:rsid w:val="00162044"/>
    <w:rsid w:val="001654A8"/>
    <w:rsid w:val="001670F9"/>
    <w:rsid w:val="00167428"/>
    <w:rsid w:val="001807F9"/>
    <w:rsid w:val="001936F6"/>
    <w:rsid w:val="001A1F5A"/>
    <w:rsid w:val="001A29FC"/>
    <w:rsid w:val="001A54EA"/>
    <w:rsid w:val="001B75D6"/>
    <w:rsid w:val="001C31F8"/>
    <w:rsid w:val="001C4DEF"/>
    <w:rsid w:val="001C67EA"/>
    <w:rsid w:val="001D2485"/>
    <w:rsid w:val="001E04D0"/>
    <w:rsid w:val="001E1E71"/>
    <w:rsid w:val="001E2DB3"/>
    <w:rsid w:val="001F0BE1"/>
    <w:rsid w:val="001F1C28"/>
    <w:rsid w:val="00203AB7"/>
    <w:rsid w:val="002045E5"/>
    <w:rsid w:val="00216295"/>
    <w:rsid w:val="002168F9"/>
    <w:rsid w:val="00217E17"/>
    <w:rsid w:val="00222C40"/>
    <w:rsid w:val="00223A2A"/>
    <w:rsid w:val="00242795"/>
    <w:rsid w:val="00243F6E"/>
    <w:rsid w:val="002456FA"/>
    <w:rsid w:val="002460B0"/>
    <w:rsid w:val="00256A08"/>
    <w:rsid w:val="00257244"/>
    <w:rsid w:val="002629B0"/>
    <w:rsid w:val="002645E3"/>
    <w:rsid w:val="00264A73"/>
    <w:rsid w:val="002674BB"/>
    <w:rsid w:val="00287319"/>
    <w:rsid w:val="00287411"/>
    <w:rsid w:val="00287AC4"/>
    <w:rsid w:val="00292318"/>
    <w:rsid w:val="002A1A79"/>
    <w:rsid w:val="002A34D5"/>
    <w:rsid w:val="002D2353"/>
    <w:rsid w:val="002D6D61"/>
    <w:rsid w:val="002D6DAE"/>
    <w:rsid w:val="002E068A"/>
    <w:rsid w:val="002F105E"/>
    <w:rsid w:val="003005B3"/>
    <w:rsid w:val="00302D66"/>
    <w:rsid w:val="00307587"/>
    <w:rsid w:val="0031352A"/>
    <w:rsid w:val="00313AC1"/>
    <w:rsid w:val="003210AE"/>
    <w:rsid w:val="003279DD"/>
    <w:rsid w:val="00343578"/>
    <w:rsid w:val="003463E6"/>
    <w:rsid w:val="00350279"/>
    <w:rsid w:val="0035178F"/>
    <w:rsid w:val="003811B9"/>
    <w:rsid w:val="00390F6C"/>
    <w:rsid w:val="003975D3"/>
    <w:rsid w:val="0039784D"/>
    <w:rsid w:val="003A5ED4"/>
    <w:rsid w:val="003B5EAF"/>
    <w:rsid w:val="003B60B1"/>
    <w:rsid w:val="003C1C72"/>
    <w:rsid w:val="003C2141"/>
    <w:rsid w:val="003D0805"/>
    <w:rsid w:val="003D1989"/>
    <w:rsid w:val="003D3660"/>
    <w:rsid w:val="003E0B61"/>
    <w:rsid w:val="003E3D14"/>
    <w:rsid w:val="003E4E18"/>
    <w:rsid w:val="003F0A70"/>
    <w:rsid w:val="003F1D49"/>
    <w:rsid w:val="003F4F62"/>
    <w:rsid w:val="00413930"/>
    <w:rsid w:val="00416933"/>
    <w:rsid w:val="004232C1"/>
    <w:rsid w:val="004264BA"/>
    <w:rsid w:val="0045056E"/>
    <w:rsid w:val="00453A1F"/>
    <w:rsid w:val="004540C8"/>
    <w:rsid w:val="00456DC3"/>
    <w:rsid w:val="004574BD"/>
    <w:rsid w:val="004737D1"/>
    <w:rsid w:val="00481162"/>
    <w:rsid w:val="004811C7"/>
    <w:rsid w:val="00483F92"/>
    <w:rsid w:val="004925B1"/>
    <w:rsid w:val="00496CAB"/>
    <w:rsid w:val="00497798"/>
    <w:rsid w:val="00497CE4"/>
    <w:rsid w:val="004C43E8"/>
    <w:rsid w:val="004D71CB"/>
    <w:rsid w:val="004D73F6"/>
    <w:rsid w:val="004E65F5"/>
    <w:rsid w:val="004F2C74"/>
    <w:rsid w:val="00512FA2"/>
    <w:rsid w:val="005161AF"/>
    <w:rsid w:val="00520902"/>
    <w:rsid w:val="005210E5"/>
    <w:rsid w:val="005233E8"/>
    <w:rsid w:val="0053244B"/>
    <w:rsid w:val="00533068"/>
    <w:rsid w:val="00541884"/>
    <w:rsid w:val="00544580"/>
    <w:rsid w:val="00545BB7"/>
    <w:rsid w:val="00545FF1"/>
    <w:rsid w:val="00552938"/>
    <w:rsid w:val="005605EB"/>
    <w:rsid w:val="0056326E"/>
    <w:rsid w:val="005716B0"/>
    <w:rsid w:val="005733FE"/>
    <w:rsid w:val="005774F1"/>
    <w:rsid w:val="005872BC"/>
    <w:rsid w:val="005A62E8"/>
    <w:rsid w:val="005B672F"/>
    <w:rsid w:val="005B7BB1"/>
    <w:rsid w:val="005C299E"/>
    <w:rsid w:val="005D5821"/>
    <w:rsid w:val="005E09F1"/>
    <w:rsid w:val="005E32A3"/>
    <w:rsid w:val="005E3B6F"/>
    <w:rsid w:val="005E445A"/>
    <w:rsid w:val="005E53CE"/>
    <w:rsid w:val="005E6997"/>
    <w:rsid w:val="005E7824"/>
    <w:rsid w:val="00606185"/>
    <w:rsid w:val="00613459"/>
    <w:rsid w:val="00614374"/>
    <w:rsid w:val="00616C87"/>
    <w:rsid w:val="0062704A"/>
    <w:rsid w:val="00627946"/>
    <w:rsid w:val="0063259F"/>
    <w:rsid w:val="0063514D"/>
    <w:rsid w:val="00635361"/>
    <w:rsid w:val="00636D2C"/>
    <w:rsid w:val="00642C7B"/>
    <w:rsid w:val="00651192"/>
    <w:rsid w:val="00657B9F"/>
    <w:rsid w:val="00661D93"/>
    <w:rsid w:val="0066208D"/>
    <w:rsid w:val="006628EE"/>
    <w:rsid w:val="006711DE"/>
    <w:rsid w:val="006769B6"/>
    <w:rsid w:val="00677CA5"/>
    <w:rsid w:val="0068041A"/>
    <w:rsid w:val="00690B2A"/>
    <w:rsid w:val="00690EED"/>
    <w:rsid w:val="00693BF6"/>
    <w:rsid w:val="00694222"/>
    <w:rsid w:val="00694ECA"/>
    <w:rsid w:val="006A0039"/>
    <w:rsid w:val="006A04A0"/>
    <w:rsid w:val="006B0D27"/>
    <w:rsid w:val="006B423F"/>
    <w:rsid w:val="006B7BCF"/>
    <w:rsid w:val="006C5DCB"/>
    <w:rsid w:val="006D1126"/>
    <w:rsid w:val="006D1804"/>
    <w:rsid w:val="006D3F2A"/>
    <w:rsid w:val="006D4A84"/>
    <w:rsid w:val="006D5A33"/>
    <w:rsid w:val="006E4B2D"/>
    <w:rsid w:val="006E7404"/>
    <w:rsid w:val="006E74E5"/>
    <w:rsid w:val="006E76D9"/>
    <w:rsid w:val="006F2236"/>
    <w:rsid w:val="006F60A0"/>
    <w:rsid w:val="00704B09"/>
    <w:rsid w:val="0071419C"/>
    <w:rsid w:val="00716399"/>
    <w:rsid w:val="007165C7"/>
    <w:rsid w:val="00717156"/>
    <w:rsid w:val="00721B38"/>
    <w:rsid w:val="0072232D"/>
    <w:rsid w:val="00730B49"/>
    <w:rsid w:val="0073229D"/>
    <w:rsid w:val="0073551C"/>
    <w:rsid w:val="00740B9E"/>
    <w:rsid w:val="0074397E"/>
    <w:rsid w:val="00744FA5"/>
    <w:rsid w:val="007452FB"/>
    <w:rsid w:val="00745E29"/>
    <w:rsid w:val="007703F5"/>
    <w:rsid w:val="00784183"/>
    <w:rsid w:val="007859A8"/>
    <w:rsid w:val="00794762"/>
    <w:rsid w:val="0079796C"/>
    <w:rsid w:val="007979C1"/>
    <w:rsid w:val="007A75FC"/>
    <w:rsid w:val="007B08C3"/>
    <w:rsid w:val="007B0948"/>
    <w:rsid w:val="007B34EB"/>
    <w:rsid w:val="007B5176"/>
    <w:rsid w:val="007B60C0"/>
    <w:rsid w:val="007C5352"/>
    <w:rsid w:val="007C7E3F"/>
    <w:rsid w:val="007D5FF1"/>
    <w:rsid w:val="007E4B50"/>
    <w:rsid w:val="007F44D9"/>
    <w:rsid w:val="007F47DF"/>
    <w:rsid w:val="007F4DCC"/>
    <w:rsid w:val="007F6550"/>
    <w:rsid w:val="007F7098"/>
    <w:rsid w:val="00805203"/>
    <w:rsid w:val="00807511"/>
    <w:rsid w:val="00812651"/>
    <w:rsid w:val="0081343F"/>
    <w:rsid w:val="00813C09"/>
    <w:rsid w:val="008148AE"/>
    <w:rsid w:val="00817914"/>
    <w:rsid w:val="00823189"/>
    <w:rsid w:val="00827081"/>
    <w:rsid w:val="00830588"/>
    <w:rsid w:val="00844F6A"/>
    <w:rsid w:val="008450AF"/>
    <w:rsid w:val="0085113C"/>
    <w:rsid w:val="008547C1"/>
    <w:rsid w:val="00855599"/>
    <w:rsid w:val="00855974"/>
    <w:rsid w:val="00874301"/>
    <w:rsid w:val="00875944"/>
    <w:rsid w:val="0088473A"/>
    <w:rsid w:val="00884C7A"/>
    <w:rsid w:val="008C5BF3"/>
    <w:rsid w:val="008D1FE0"/>
    <w:rsid w:val="008E1FB3"/>
    <w:rsid w:val="008E47E3"/>
    <w:rsid w:val="008E6276"/>
    <w:rsid w:val="008F2DB3"/>
    <w:rsid w:val="008F6CBF"/>
    <w:rsid w:val="009106E8"/>
    <w:rsid w:val="009125B2"/>
    <w:rsid w:val="0091784E"/>
    <w:rsid w:val="00921EE2"/>
    <w:rsid w:val="009220AA"/>
    <w:rsid w:val="00923706"/>
    <w:rsid w:val="00930FE0"/>
    <w:rsid w:val="00937C74"/>
    <w:rsid w:val="00942EFE"/>
    <w:rsid w:val="00951D25"/>
    <w:rsid w:val="00956990"/>
    <w:rsid w:val="00972B15"/>
    <w:rsid w:val="00975E69"/>
    <w:rsid w:val="00984723"/>
    <w:rsid w:val="009854DD"/>
    <w:rsid w:val="0098674E"/>
    <w:rsid w:val="009A338C"/>
    <w:rsid w:val="009B0B32"/>
    <w:rsid w:val="009B48D6"/>
    <w:rsid w:val="009C046B"/>
    <w:rsid w:val="009C5164"/>
    <w:rsid w:val="009D4B66"/>
    <w:rsid w:val="009D74A1"/>
    <w:rsid w:val="009E500F"/>
    <w:rsid w:val="009F1B16"/>
    <w:rsid w:val="00A00576"/>
    <w:rsid w:val="00A0320D"/>
    <w:rsid w:val="00A041BD"/>
    <w:rsid w:val="00A1034A"/>
    <w:rsid w:val="00A205E8"/>
    <w:rsid w:val="00A24A4C"/>
    <w:rsid w:val="00A305FA"/>
    <w:rsid w:val="00A37A87"/>
    <w:rsid w:val="00A40BE2"/>
    <w:rsid w:val="00A413CB"/>
    <w:rsid w:val="00A43A18"/>
    <w:rsid w:val="00A611E7"/>
    <w:rsid w:val="00A66B96"/>
    <w:rsid w:val="00A90E2F"/>
    <w:rsid w:val="00A91B22"/>
    <w:rsid w:val="00A96F0C"/>
    <w:rsid w:val="00AA5C88"/>
    <w:rsid w:val="00AB1101"/>
    <w:rsid w:val="00AB1C6E"/>
    <w:rsid w:val="00AB728B"/>
    <w:rsid w:val="00AC3DE1"/>
    <w:rsid w:val="00AC486F"/>
    <w:rsid w:val="00AC4A3B"/>
    <w:rsid w:val="00AD0D56"/>
    <w:rsid w:val="00AD1F12"/>
    <w:rsid w:val="00AD26F3"/>
    <w:rsid w:val="00AD3612"/>
    <w:rsid w:val="00AF5C49"/>
    <w:rsid w:val="00AF5FBA"/>
    <w:rsid w:val="00B05283"/>
    <w:rsid w:val="00B232C2"/>
    <w:rsid w:val="00B24D77"/>
    <w:rsid w:val="00B33AE6"/>
    <w:rsid w:val="00B3583D"/>
    <w:rsid w:val="00B36782"/>
    <w:rsid w:val="00B37699"/>
    <w:rsid w:val="00B40870"/>
    <w:rsid w:val="00B40DC9"/>
    <w:rsid w:val="00B60B4F"/>
    <w:rsid w:val="00B631A4"/>
    <w:rsid w:val="00B72A2F"/>
    <w:rsid w:val="00B73D20"/>
    <w:rsid w:val="00B84410"/>
    <w:rsid w:val="00B916F3"/>
    <w:rsid w:val="00B951EF"/>
    <w:rsid w:val="00B96BFB"/>
    <w:rsid w:val="00BA7DBE"/>
    <w:rsid w:val="00BB13BA"/>
    <w:rsid w:val="00BB1E71"/>
    <w:rsid w:val="00BB5627"/>
    <w:rsid w:val="00BC36D1"/>
    <w:rsid w:val="00BC5928"/>
    <w:rsid w:val="00BC61E7"/>
    <w:rsid w:val="00BC7761"/>
    <w:rsid w:val="00BD09AC"/>
    <w:rsid w:val="00BD4342"/>
    <w:rsid w:val="00BE0E47"/>
    <w:rsid w:val="00BE2A36"/>
    <w:rsid w:val="00BF2F3A"/>
    <w:rsid w:val="00BF499A"/>
    <w:rsid w:val="00BF59AF"/>
    <w:rsid w:val="00BF755B"/>
    <w:rsid w:val="00BF77A6"/>
    <w:rsid w:val="00C001C7"/>
    <w:rsid w:val="00C02619"/>
    <w:rsid w:val="00C05A02"/>
    <w:rsid w:val="00C26AC5"/>
    <w:rsid w:val="00C27966"/>
    <w:rsid w:val="00C4201F"/>
    <w:rsid w:val="00C50AB0"/>
    <w:rsid w:val="00C5109E"/>
    <w:rsid w:val="00C520F2"/>
    <w:rsid w:val="00C52654"/>
    <w:rsid w:val="00C54EFC"/>
    <w:rsid w:val="00C65221"/>
    <w:rsid w:val="00C67165"/>
    <w:rsid w:val="00C7688F"/>
    <w:rsid w:val="00CA3953"/>
    <w:rsid w:val="00CA51AD"/>
    <w:rsid w:val="00CA7662"/>
    <w:rsid w:val="00CB0489"/>
    <w:rsid w:val="00CC29BD"/>
    <w:rsid w:val="00CD1EBF"/>
    <w:rsid w:val="00CD3C51"/>
    <w:rsid w:val="00CD55E6"/>
    <w:rsid w:val="00CE6F32"/>
    <w:rsid w:val="00CF0779"/>
    <w:rsid w:val="00CF10C8"/>
    <w:rsid w:val="00CF3A5B"/>
    <w:rsid w:val="00CF4B4E"/>
    <w:rsid w:val="00CF5A69"/>
    <w:rsid w:val="00CF793E"/>
    <w:rsid w:val="00D161E2"/>
    <w:rsid w:val="00D16387"/>
    <w:rsid w:val="00D16A4F"/>
    <w:rsid w:val="00D16D37"/>
    <w:rsid w:val="00D27A7E"/>
    <w:rsid w:val="00D30035"/>
    <w:rsid w:val="00D3136E"/>
    <w:rsid w:val="00D37EFC"/>
    <w:rsid w:val="00D41F06"/>
    <w:rsid w:val="00D420E5"/>
    <w:rsid w:val="00D46544"/>
    <w:rsid w:val="00D478B9"/>
    <w:rsid w:val="00D50514"/>
    <w:rsid w:val="00D534FE"/>
    <w:rsid w:val="00D604C7"/>
    <w:rsid w:val="00D6251F"/>
    <w:rsid w:val="00D63DB5"/>
    <w:rsid w:val="00D653ED"/>
    <w:rsid w:val="00D66091"/>
    <w:rsid w:val="00D664D5"/>
    <w:rsid w:val="00D66791"/>
    <w:rsid w:val="00D67A19"/>
    <w:rsid w:val="00D727FF"/>
    <w:rsid w:val="00D75609"/>
    <w:rsid w:val="00D76C9B"/>
    <w:rsid w:val="00D77C9E"/>
    <w:rsid w:val="00D8203D"/>
    <w:rsid w:val="00D91A2D"/>
    <w:rsid w:val="00D93696"/>
    <w:rsid w:val="00D93B58"/>
    <w:rsid w:val="00DA2E60"/>
    <w:rsid w:val="00DA59A2"/>
    <w:rsid w:val="00DA5EC1"/>
    <w:rsid w:val="00DA6119"/>
    <w:rsid w:val="00DB533F"/>
    <w:rsid w:val="00DC336C"/>
    <w:rsid w:val="00DD003A"/>
    <w:rsid w:val="00DD1189"/>
    <w:rsid w:val="00DE7A38"/>
    <w:rsid w:val="00E014FD"/>
    <w:rsid w:val="00E0304E"/>
    <w:rsid w:val="00E1106C"/>
    <w:rsid w:val="00E123AA"/>
    <w:rsid w:val="00E136B7"/>
    <w:rsid w:val="00E1376C"/>
    <w:rsid w:val="00E2097E"/>
    <w:rsid w:val="00E24959"/>
    <w:rsid w:val="00E2782F"/>
    <w:rsid w:val="00E3037F"/>
    <w:rsid w:val="00E34EE3"/>
    <w:rsid w:val="00E45DAC"/>
    <w:rsid w:val="00E47EF5"/>
    <w:rsid w:val="00E72F52"/>
    <w:rsid w:val="00E73939"/>
    <w:rsid w:val="00E73D61"/>
    <w:rsid w:val="00E81B9E"/>
    <w:rsid w:val="00E85242"/>
    <w:rsid w:val="00E914C2"/>
    <w:rsid w:val="00E94537"/>
    <w:rsid w:val="00EA3CC6"/>
    <w:rsid w:val="00EA627F"/>
    <w:rsid w:val="00EB3555"/>
    <w:rsid w:val="00EB7682"/>
    <w:rsid w:val="00EC0E18"/>
    <w:rsid w:val="00EC73F5"/>
    <w:rsid w:val="00ED1366"/>
    <w:rsid w:val="00ED2475"/>
    <w:rsid w:val="00ED5905"/>
    <w:rsid w:val="00EE59EE"/>
    <w:rsid w:val="00EF3DD9"/>
    <w:rsid w:val="00F07B20"/>
    <w:rsid w:val="00F20F44"/>
    <w:rsid w:val="00F245CA"/>
    <w:rsid w:val="00F3560E"/>
    <w:rsid w:val="00F37F18"/>
    <w:rsid w:val="00F40EBA"/>
    <w:rsid w:val="00F43DD1"/>
    <w:rsid w:val="00F52D56"/>
    <w:rsid w:val="00F60A6C"/>
    <w:rsid w:val="00F655AC"/>
    <w:rsid w:val="00F70AAC"/>
    <w:rsid w:val="00F711A8"/>
    <w:rsid w:val="00F95ED5"/>
    <w:rsid w:val="00FA1D1E"/>
    <w:rsid w:val="00FA5971"/>
    <w:rsid w:val="00FB56CB"/>
    <w:rsid w:val="00FC18E4"/>
    <w:rsid w:val="00FD3A1D"/>
    <w:rsid w:val="00FE1CA7"/>
    <w:rsid w:val="00FE7DBF"/>
    <w:rsid w:val="00FF04DA"/>
    <w:rsid w:val="00FF0E0E"/>
    <w:rsid w:val="00FF43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docId w15:val="{A0AA3CFC-C334-4315-8594-AD227A25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character" w:styleId="CommentReference">
    <w:name w:val="annotation reference"/>
    <w:basedOn w:val="DefaultParagraphFont"/>
    <w:uiPriority w:val="99"/>
    <w:semiHidden/>
    <w:unhideWhenUsed/>
    <w:rsid w:val="009F1B16"/>
    <w:rPr>
      <w:sz w:val="16"/>
      <w:szCs w:val="16"/>
    </w:rPr>
  </w:style>
  <w:style w:type="paragraph" w:styleId="CommentText">
    <w:name w:val="annotation text"/>
    <w:basedOn w:val="Normal"/>
    <w:link w:val="CommentTextChar"/>
    <w:uiPriority w:val="99"/>
    <w:unhideWhenUsed/>
    <w:rsid w:val="009F1B16"/>
    <w:pPr>
      <w:spacing w:line="240" w:lineRule="auto"/>
    </w:pPr>
    <w:rPr>
      <w:sz w:val="20"/>
      <w:szCs w:val="20"/>
    </w:rPr>
  </w:style>
  <w:style w:type="character" w:customStyle="1" w:styleId="CommentTextChar">
    <w:name w:val="Comment Text Char"/>
    <w:basedOn w:val="DefaultParagraphFont"/>
    <w:link w:val="CommentText"/>
    <w:uiPriority w:val="99"/>
    <w:rsid w:val="009F1B16"/>
    <w:rPr>
      <w:sz w:val="20"/>
      <w:szCs w:val="20"/>
    </w:rPr>
  </w:style>
  <w:style w:type="paragraph" w:styleId="CommentSubject">
    <w:name w:val="annotation subject"/>
    <w:basedOn w:val="CommentText"/>
    <w:next w:val="CommentText"/>
    <w:link w:val="CommentSubjectChar"/>
    <w:uiPriority w:val="99"/>
    <w:semiHidden/>
    <w:unhideWhenUsed/>
    <w:rsid w:val="009F1B16"/>
    <w:rPr>
      <w:b/>
      <w:bCs/>
    </w:rPr>
  </w:style>
  <w:style w:type="character" w:customStyle="1" w:styleId="CommentSubjectChar">
    <w:name w:val="Comment Subject Char"/>
    <w:basedOn w:val="CommentTextChar"/>
    <w:link w:val="CommentSubject"/>
    <w:uiPriority w:val="99"/>
    <w:semiHidden/>
    <w:rsid w:val="009F1B16"/>
    <w:rPr>
      <w:b/>
      <w:bCs/>
      <w:sz w:val="20"/>
      <w:szCs w:val="20"/>
    </w:rPr>
  </w:style>
  <w:style w:type="paragraph" w:styleId="Header">
    <w:name w:val="header"/>
    <w:basedOn w:val="Normal"/>
    <w:link w:val="HeaderChar"/>
    <w:uiPriority w:val="99"/>
    <w:unhideWhenUsed/>
    <w:rsid w:val="003E3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D14"/>
  </w:style>
  <w:style w:type="paragraph" w:styleId="Footer">
    <w:name w:val="footer"/>
    <w:basedOn w:val="Normal"/>
    <w:link w:val="FooterChar"/>
    <w:uiPriority w:val="99"/>
    <w:unhideWhenUsed/>
    <w:rsid w:val="003E3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D14"/>
  </w:style>
  <w:style w:type="paragraph" w:styleId="BalloonText">
    <w:name w:val="Balloon Text"/>
    <w:basedOn w:val="Normal"/>
    <w:link w:val="BalloonTextChar"/>
    <w:uiPriority w:val="99"/>
    <w:semiHidden/>
    <w:unhideWhenUsed/>
    <w:rsid w:val="00497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C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6A04-CA5A-42A8-9A5C-D6480FFE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2577</Words>
  <Characters>14950</Characters>
  <Application>Microsoft Office Word</Application>
  <DocSecurity>0</DocSecurity>
  <Lines>124</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Steluta BULACEANU</dc:creator>
  <cp:keywords/>
  <dc:description/>
  <cp:lastModifiedBy>Mariana Acatrinei</cp:lastModifiedBy>
  <cp:revision>5</cp:revision>
  <dcterms:created xsi:type="dcterms:W3CDTF">2024-01-29T11:12:00Z</dcterms:created>
  <dcterms:modified xsi:type="dcterms:W3CDTF">2024-02-01T09:30:00Z</dcterms:modified>
</cp:coreProperties>
</file>